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11AB9" w14:textId="2A92CBBF" w:rsidR="00E401A9" w:rsidRPr="00D97BA0" w:rsidRDefault="00E401A9" w:rsidP="00D97BA0">
      <w:pPr>
        <w:pStyle w:val="ActTitle"/>
        <w:jc w:val="left"/>
        <w:rPr>
          <w:rFonts w:cs="Arial"/>
          <w:szCs w:val="24"/>
        </w:rPr>
      </w:pPr>
      <w:r w:rsidRPr="00D97BA0">
        <w:rPr>
          <w:rFonts w:cs="Arial"/>
          <w:szCs w:val="24"/>
        </w:rPr>
        <w:t>Planning and Environment Act 1987</w:t>
      </w:r>
    </w:p>
    <w:p w14:paraId="4D7ADCF5" w14:textId="7F836E84" w:rsidR="00E401A9" w:rsidRPr="00D97BA0" w:rsidRDefault="00D97BA0" w:rsidP="00D97BA0">
      <w:pPr>
        <w:pStyle w:val="Heading1"/>
        <w:jc w:val="left"/>
        <w:rPr>
          <w:rFonts w:cs="Arial"/>
          <w:color w:val="000000"/>
          <w:sz w:val="36"/>
          <w:szCs w:val="36"/>
        </w:rPr>
      </w:pPr>
      <w:r w:rsidRPr="00D97BA0">
        <w:rPr>
          <w:rFonts w:cs="Arial"/>
          <w:bCs w:val="0"/>
          <w:caps w:val="0"/>
          <w:color w:val="000000"/>
          <w:sz w:val="36"/>
          <w:szCs w:val="36"/>
          <w:lang w:val="en-GB"/>
        </w:rPr>
        <w:t>Maribyrnong</w:t>
      </w:r>
      <w:r w:rsidRPr="00D97BA0">
        <w:rPr>
          <w:rFonts w:cs="Arial"/>
          <w:caps w:val="0"/>
          <w:color w:val="000000"/>
          <w:sz w:val="36"/>
          <w:szCs w:val="36"/>
        </w:rPr>
        <w:t xml:space="preserve"> Planning Scheme</w:t>
      </w:r>
    </w:p>
    <w:p w14:paraId="7D7B9438" w14:textId="5D2DCE0C" w:rsidR="00E401A9" w:rsidRPr="00D97BA0" w:rsidRDefault="00D97BA0" w:rsidP="00D97BA0">
      <w:pPr>
        <w:pStyle w:val="Heading1"/>
        <w:jc w:val="left"/>
        <w:rPr>
          <w:rFonts w:cs="Arial"/>
          <w:bCs w:val="0"/>
          <w:caps w:val="0"/>
          <w:color w:val="000000"/>
          <w:sz w:val="36"/>
          <w:szCs w:val="36"/>
          <w:lang w:val="en-GB"/>
        </w:rPr>
      </w:pPr>
      <w:r w:rsidRPr="00D97BA0">
        <w:rPr>
          <w:rFonts w:cs="Arial"/>
          <w:caps w:val="0"/>
          <w:color w:val="000000"/>
          <w:sz w:val="36"/>
          <w:szCs w:val="36"/>
        </w:rPr>
        <w:t>Amendment C</w:t>
      </w:r>
      <w:r w:rsidRPr="00D97BA0">
        <w:rPr>
          <w:rFonts w:cs="Arial"/>
          <w:bCs w:val="0"/>
          <w:caps w:val="0"/>
          <w:color w:val="000000"/>
          <w:sz w:val="36"/>
          <w:szCs w:val="36"/>
          <w:lang w:val="en-GB"/>
        </w:rPr>
        <w:t>162mari</w:t>
      </w:r>
    </w:p>
    <w:p w14:paraId="08F213CB" w14:textId="4AC3A36B" w:rsidR="00E401A9" w:rsidRPr="00D97BA0" w:rsidRDefault="00D97BA0" w:rsidP="00D97BA0">
      <w:pPr>
        <w:pStyle w:val="Heading1"/>
        <w:jc w:val="left"/>
        <w:rPr>
          <w:rFonts w:cs="Arial"/>
          <w:sz w:val="36"/>
          <w:szCs w:val="36"/>
        </w:rPr>
      </w:pPr>
      <w:r w:rsidRPr="00D97BA0">
        <w:rPr>
          <w:rFonts w:cs="Arial"/>
          <w:caps w:val="0"/>
          <w:sz w:val="36"/>
          <w:szCs w:val="36"/>
        </w:rPr>
        <w:t>Explanatory Report</w:t>
      </w:r>
    </w:p>
    <w:p w14:paraId="49EE1881" w14:textId="77777777" w:rsidR="00E401A9" w:rsidRPr="00D97BA0" w:rsidRDefault="00E401A9" w:rsidP="00F84C8A">
      <w:pPr>
        <w:pStyle w:val="Heading2"/>
        <w:spacing w:before="240" w:after="240"/>
        <w:jc w:val="left"/>
        <w:rPr>
          <w:rFonts w:cs="Arial"/>
          <w:sz w:val="28"/>
          <w:szCs w:val="28"/>
        </w:rPr>
      </w:pPr>
      <w:r w:rsidRPr="00D97BA0">
        <w:rPr>
          <w:rFonts w:cs="Arial"/>
          <w:sz w:val="28"/>
          <w:szCs w:val="28"/>
        </w:rPr>
        <w:t>Who is the planning authority?</w:t>
      </w:r>
    </w:p>
    <w:p w14:paraId="4E2EEAD3" w14:textId="6605A16F" w:rsidR="00E401A9" w:rsidRPr="00D97BA0" w:rsidRDefault="00E401A9" w:rsidP="00E401A9">
      <w:pPr>
        <w:jc w:val="left"/>
        <w:rPr>
          <w:rFonts w:ascii="Arial" w:hAnsi="Arial" w:cs="Arial"/>
          <w:color w:val="000000"/>
          <w:szCs w:val="24"/>
        </w:rPr>
      </w:pPr>
      <w:r w:rsidRPr="00D97BA0">
        <w:rPr>
          <w:rFonts w:ascii="Arial" w:hAnsi="Arial" w:cs="Arial"/>
          <w:color w:val="000000"/>
          <w:szCs w:val="24"/>
        </w:rPr>
        <w:t xml:space="preserve">This </w:t>
      </w:r>
      <w:r w:rsidR="00926E03" w:rsidRPr="00D97BA0">
        <w:rPr>
          <w:rFonts w:ascii="Arial" w:hAnsi="Arial" w:cs="Arial"/>
          <w:color w:val="000000"/>
          <w:szCs w:val="24"/>
        </w:rPr>
        <w:t>Amendment</w:t>
      </w:r>
      <w:r w:rsidRPr="00D97BA0">
        <w:rPr>
          <w:rFonts w:ascii="Arial" w:hAnsi="Arial" w:cs="Arial"/>
          <w:color w:val="000000"/>
          <w:szCs w:val="24"/>
        </w:rPr>
        <w:t xml:space="preserve"> has been prepared by the </w:t>
      </w:r>
      <w:r w:rsidR="00BB72AA" w:rsidRPr="00D97BA0">
        <w:rPr>
          <w:rFonts w:ascii="Arial" w:hAnsi="Arial" w:cs="Arial"/>
          <w:color w:val="000000"/>
          <w:szCs w:val="24"/>
          <w:lang w:val="en-GB"/>
        </w:rPr>
        <w:t>Maribyrnong City Council</w:t>
      </w:r>
      <w:r w:rsidR="00CC2AFA" w:rsidRPr="00D97BA0">
        <w:rPr>
          <w:rFonts w:ascii="Arial" w:hAnsi="Arial" w:cs="Arial"/>
          <w:color w:val="000000"/>
          <w:szCs w:val="24"/>
          <w:lang w:val="en-GB"/>
        </w:rPr>
        <w:t xml:space="preserve"> which is</w:t>
      </w:r>
      <w:r w:rsidRPr="00D97BA0">
        <w:rPr>
          <w:rFonts w:ascii="Arial" w:hAnsi="Arial" w:cs="Arial"/>
          <w:color w:val="000000"/>
          <w:szCs w:val="24"/>
        </w:rPr>
        <w:t xml:space="preserve"> the planning authority for this </w:t>
      </w:r>
      <w:r w:rsidR="00926E03" w:rsidRPr="00D97BA0">
        <w:rPr>
          <w:rFonts w:ascii="Arial" w:hAnsi="Arial" w:cs="Arial"/>
          <w:color w:val="000000"/>
          <w:szCs w:val="24"/>
        </w:rPr>
        <w:t>Amendment</w:t>
      </w:r>
      <w:r w:rsidRPr="00D97BA0">
        <w:rPr>
          <w:rFonts w:ascii="Arial" w:hAnsi="Arial" w:cs="Arial"/>
          <w:color w:val="000000"/>
          <w:szCs w:val="24"/>
        </w:rPr>
        <w:t>.</w:t>
      </w:r>
    </w:p>
    <w:p w14:paraId="78F371F2" w14:textId="3C0B51C9" w:rsidR="00E401A9" w:rsidRPr="00D97BA0" w:rsidRDefault="00E401A9" w:rsidP="00E401A9">
      <w:pPr>
        <w:jc w:val="left"/>
        <w:rPr>
          <w:rFonts w:ascii="Arial" w:hAnsi="Arial" w:cs="Arial"/>
          <w:color w:val="000000"/>
          <w:szCs w:val="24"/>
        </w:rPr>
      </w:pPr>
      <w:r w:rsidRPr="00D97BA0">
        <w:rPr>
          <w:rFonts w:ascii="Arial" w:hAnsi="Arial" w:cs="Arial"/>
          <w:color w:val="000000"/>
          <w:szCs w:val="24"/>
        </w:rPr>
        <w:t xml:space="preserve">The </w:t>
      </w:r>
      <w:r w:rsidR="00926E03" w:rsidRPr="00D97BA0">
        <w:rPr>
          <w:rFonts w:ascii="Arial" w:hAnsi="Arial" w:cs="Arial"/>
          <w:color w:val="000000"/>
          <w:szCs w:val="24"/>
        </w:rPr>
        <w:t>Amendment</w:t>
      </w:r>
      <w:r w:rsidRPr="00D97BA0">
        <w:rPr>
          <w:rFonts w:ascii="Arial" w:hAnsi="Arial" w:cs="Arial"/>
          <w:color w:val="000000"/>
          <w:szCs w:val="24"/>
        </w:rPr>
        <w:t xml:space="preserve"> has been made at the request of </w:t>
      </w:r>
      <w:r w:rsidR="00BB72AA" w:rsidRPr="00D97BA0">
        <w:rPr>
          <w:rFonts w:ascii="Arial" w:hAnsi="Arial" w:cs="Arial"/>
          <w:color w:val="000000"/>
          <w:szCs w:val="24"/>
          <w:lang w:val="en-GB"/>
        </w:rPr>
        <w:t xml:space="preserve">Maribyrnong City Council. </w:t>
      </w:r>
    </w:p>
    <w:p w14:paraId="2E675431" w14:textId="479A5975"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Land affected by the </w:t>
      </w:r>
      <w:r w:rsidR="00926E03" w:rsidRPr="00D97BA0">
        <w:rPr>
          <w:rFonts w:cs="Arial"/>
          <w:sz w:val="28"/>
          <w:szCs w:val="28"/>
        </w:rPr>
        <w:t>Amendment</w:t>
      </w:r>
    </w:p>
    <w:p w14:paraId="2B4B064C" w14:textId="1DDEC840" w:rsidR="00C94EEB" w:rsidRPr="00D97BA0" w:rsidRDefault="003842F9" w:rsidP="00E401A9">
      <w:pPr>
        <w:jc w:val="left"/>
        <w:rPr>
          <w:rFonts w:ascii="Arial" w:hAnsi="Arial" w:cs="Arial"/>
          <w:color w:val="000000"/>
          <w:szCs w:val="24"/>
        </w:rPr>
      </w:pPr>
      <w:r w:rsidRPr="00D97BA0">
        <w:rPr>
          <w:rFonts w:ascii="Arial" w:hAnsi="Arial" w:cs="Arial"/>
          <w:color w:val="000000"/>
          <w:szCs w:val="24"/>
        </w:rPr>
        <w:t xml:space="preserve">The </w:t>
      </w:r>
      <w:r w:rsidR="00926E03" w:rsidRPr="00D97BA0">
        <w:rPr>
          <w:rFonts w:ascii="Arial" w:hAnsi="Arial" w:cs="Arial"/>
          <w:color w:val="000000"/>
          <w:szCs w:val="24"/>
        </w:rPr>
        <w:t>Amendment</w:t>
      </w:r>
      <w:r w:rsidRPr="00D97BA0">
        <w:rPr>
          <w:rFonts w:ascii="Arial" w:hAnsi="Arial" w:cs="Arial"/>
          <w:color w:val="000000"/>
          <w:szCs w:val="24"/>
        </w:rPr>
        <w:t xml:space="preserve"> applies to land in West Footscray and Footscray as outlined in red in </w:t>
      </w:r>
      <w:r w:rsidR="002D75F1" w:rsidRPr="00D97BA0">
        <w:rPr>
          <w:rFonts w:ascii="Arial" w:hAnsi="Arial" w:cs="Arial"/>
          <w:color w:val="000000"/>
          <w:szCs w:val="24"/>
        </w:rPr>
        <w:t>Figure 1</w:t>
      </w:r>
      <w:r w:rsidRPr="00D97BA0">
        <w:rPr>
          <w:rFonts w:ascii="Arial" w:hAnsi="Arial" w:cs="Arial"/>
          <w:color w:val="000000"/>
          <w:szCs w:val="24"/>
        </w:rPr>
        <w:t>:</w:t>
      </w:r>
    </w:p>
    <w:p w14:paraId="50F47FFE" w14:textId="34124B16" w:rsidR="0065230A" w:rsidRPr="00D97BA0" w:rsidRDefault="0065230A" w:rsidP="0065230A">
      <w:pPr>
        <w:pStyle w:val="Caption"/>
        <w:keepNext/>
        <w:spacing w:before="200" w:after="0"/>
        <w:jc w:val="left"/>
        <w:rPr>
          <w:rFonts w:ascii="Arial" w:hAnsi="Arial" w:cs="Arial"/>
          <w:color w:val="auto"/>
          <w:sz w:val="24"/>
          <w:szCs w:val="24"/>
        </w:rPr>
      </w:pPr>
      <w:r w:rsidRPr="00D97BA0">
        <w:rPr>
          <w:rFonts w:ascii="Arial" w:hAnsi="Arial" w:cs="Arial"/>
          <w:color w:val="auto"/>
          <w:sz w:val="24"/>
          <w:szCs w:val="24"/>
        </w:rPr>
        <w:t xml:space="preserve">Figure </w:t>
      </w:r>
      <w:r w:rsidRPr="00D97BA0">
        <w:rPr>
          <w:rFonts w:ascii="Arial" w:hAnsi="Arial" w:cs="Arial"/>
          <w:color w:val="auto"/>
          <w:sz w:val="24"/>
          <w:szCs w:val="24"/>
        </w:rPr>
        <w:fldChar w:fldCharType="begin"/>
      </w:r>
      <w:r w:rsidRPr="00D97BA0">
        <w:rPr>
          <w:rFonts w:ascii="Arial" w:hAnsi="Arial" w:cs="Arial"/>
          <w:color w:val="auto"/>
          <w:sz w:val="24"/>
          <w:szCs w:val="24"/>
        </w:rPr>
        <w:instrText xml:space="preserve"> SEQ Figure \* ARABIC </w:instrText>
      </w:r>
      <w:r w:rsidRPr="00D97BA0">
        <w:rPr>
          <w:rFonts w:ascii="Arial" w:hAnsi="Arial" w:cs="Arial"/>
          <w:color w:val="auto"/>
          <w:sz w:val="24"/>
          <w:szCs w:val="24"/>
        </w:rPr>
        <w:fldChar w:fldCharType="separate"/>
      </w:r>
      <w:r w:rsidRPr="00D97BA0">
        <w:rPr>
          <w:rFonts w:ascii="Arial" w:hAnsi="Arial" w:cs="Arial"/>
          <w:noProof/>
          <w:color w:val="auto"/>
          <w:sz w:val="24"/>
          <w:szCs w:val="24"/>
        </w:rPr>
        <w:t>1</w:t>
      </w:r>
      <w:r w:rsidRPr="00D97BA0">
        <w:rPr>
          <w:rFonts w:ascii="Arial" w:hAnsi="Arial" w:cs="Arial"/>
          <w:color w:val="auto"/>
          <w:sz w:val="24"/>
          <w:szCs w:val="24"/>
        </w:rPr>
        <w:fldChar w:fldCharType="end"/>
      </w:r>
      <w:r w:rsidRPr="00D97BA0">
        <w:rPr>
          <w:rFonts w:ascii="Arial" w:hAnsi="Arial" w:cs="Arial"/>
          <w:color w:val="auto"/>
          <w:sz w:val="24"/>
          <w:szCs w:val="24"/>
        </w:rPr>
        <w:t>: Land affected by Amendment C162</w:t>
      </w:r>
      <w:r w:rsidR="00593A32" w:rsidRPr="00D97BA0">
        <w:rPr>
          <w:rFonts w:ascii="Arial" w:hAnsi="Arial" w:cs="Arial"/>
          <w:color w:val="auto"/>
          <w:sz w:val="24"/>
          <w:szCs w:val="24"/>
        </w:rPr>
        <w:t>mari</w:t>
      </w:r>
    </w:p>
    <w:p w14:paraId="5F873514" w14:textId="67A551AC" w:rsidR="003A576D" w:rsidRPr="003A576D" w:rsidRDefault="002D75F1" w:rsidP="003A576D">
      <w:pPr>
        <w:keepNext/>
        <w:jc w:val="left"/>
        <w:rPr>
          <w:rFonts w:ascii="Arial" w:hAnsi="Arial" w:cs="Arial"/>
        </w:rPr>
      </w:pPr>
      <w:r w:rsidRPr="00FA4577">
        <w:rPr>
          <w:rFonts w:ascii="Arial" w:hAnsi="Arial" w:cs="Arial"/>
          <w:noProof/>
          <w:sz w:val="20"/>
        </w:rPr>
        <w:drawing>
          <wp:inline distT="0" distB="0" distL="0" distR="0" wp14:anchorId="4C3B0ED2" wp14:editId="10B4783E">
            <wp:extent cx="5314950" cy="3342847"/>
            <wp:effectExtent l="0" t="0" r="0" b="0"/>
            <wp:docPr id="3" name="Picture 3" descr="D:\AL\Amendment C162 (West Footscray Neighbourhood Plan)\Maps and images\Amendment C162 - Part A - Land Affected by Amend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Amendment C162 (West Footscray Neighbourhood Plan)\Maps and images\Amendment C162 - Part A - Land Affected by Amendm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8823" cy="3345283"/>
                    </a:xfrm>
                    <a:prstGeom prst="rect">
                      <a:avLst/>
                    </a:prstGeom>
                    <a:noFill/>
                    <a:ln>
                      <a:noFill/>
                    </a:ln>
                  </pic:spPr>
                </pic:pic>
              </a:graphicData>
            </a:graphic>
          </wp:inline>
        </w:drawing>
      </w:r>
      <w:r w:rsidR="007379EB" w:rsidRPr="007379EB">
        <w:rPr>
          <w:rFonts w:ascii="Arial" w:hAnsi="Arial" w:cs="Arial"/>
          <w:noProof/>
          <w:sz w:val="20"/>
        </w:rPr>
        <w:t xml:space="preserve"> </w:t>
      </w:r>
    </w:p>
    <w:p w14:paraId="175FFB86" w14:textId="0DEFF19F" w:rsidR="00506425" w:rsidRPr="00D97BA0" w:rsidRDefault="00506425" w:rsidP="00506425">
      <w:pPr>
        <w:pStyle w:val="Heading2"/>
        <w:spacing w:before="240" w:after="240"/>
        <w:jc w:val="left"/>
        <w:rPr>
          <w:rFonts w:cs="Arial"/>
          <w:sz w:val="28"/>
          <w:szCs w:val="28"/>
        </w:rPr>
      </w:pPr>
      <w:r w:rsidRPr="00D97BA0">
        <w:rPr>
          <w:rFonts w:cs="Arial"/>
          <w:sz w:val="28"/>
          <w:szCs w:val="28"/>
        </w:rPr>
        <w:t xml:space="preserve">What the </w:t>
      </w:r>
      <w:r w:rsidR="00926E03" w:rsidRPr="00D97BA0">
        <w:rPr>
          <w:rFonts w:cs="Arial"/>
          <w:sz w:val="28"/>
          <w:szCs w:val="28"/>
        </w:rPr>
        <w:t>Amendment</w:t>
      </w:r>
      <w:r w:rsidRPr="00D97BA0">
        <w:rPr>
          <w:rFonts w:cs="Arial"/>
          <w:sz w:val="28"/>
          <w:szCs w:val="28"/>
        </w:rPr>
        <w:t xml:space="preserve"> does</w:t>
      </w:r>
    </w:p>
    <w:p w14:paraId="4AD98DC3" w14:textId="32C99657" w:rsidR="002D75F1" w:rsidRPr="00D97BA0" w:rsidRDefault="0065230A" w:rsidP="00004A81">
      <w:pPr>
        <w:spacing w:after="120"/>
        <w:jc w:val="left"/>
        <w:rPr>
          <w:rFonts w:ascii="Arial" w:hAnsi="Arial" w:cs="Arial"/>
          <w:szCs w:val="24"/>
        </w:rPr>
      </w:pPr>
      <w:r w:rsidRPr="00D97BA0">
        <w:rPr>
          <w:rFonts w:ascii="Arial" w:hAnsi="Arial" w:cs="Arial"/>
          <w:szCs w:val="24"/>
        </w:rPr>
        <w:t xml:space="preserve">The Amendment </w:t>
      </w:r>
      <w:r w:rsidR="002D75F1" w:rsidRPr="00D97BA0">
        <w:rPr>
          <w:rFonts w:ascii="Arial" w:hAnsi="Arial" w:cs="Arial"/>
          <w:szCs w:val="24"/>
        </w:rPr>
        <w:t>implements</w:t>
      </w:r>
      <w:r w:rsidRPr="00D97BA0">
        <w:rPr>
          <w:rFonts w:ascii="Arial" w:hAnsi="Arial" w:cs="Arial"/>
          <w:szCs w:val="24"/>
        </w:rPr>
        <w:t xml:space="preserve"> the land use and built form directions of the West Footscray Neighbourhood Plan (WFNP)</w:t>
      </w:r>
      <w:r w:rsidR="002D75F1" w:rsidRPr="00D97BA0">
        <w:rPr>
          <w:rFonts w:ascii="Arial" w:hAnsi="Arial" w:cs="Arial"/>
          <w:szCs w:val="24"/>
        </w:rPr>
        <w:t>, prepared in 2018 and updated in October 2022</w:t>
      </w:r>
      <w:r w:rsidRPr="00D97BA0">
        <w:rPr>
          <w:rFonts w:ascii="Arial" w:hAnsi="Arial" w:cs="Arial"/>
          <w:szCs w:val="24"/>
        </w:rPr>
        <w:t>. It extend</w:t>
      </w:r>
      <w:r w:rsidR="002D75F1" w:rsidRPr="00D97BA0">
        <w:rPr>
          <w:rFonts w:ascii="Arial" w:hAnsi="Arial" w:cs="Arial"/>
          <w:szCs w:val="24"/>
        </w:rPr>
        <w:t>s</w:t>
      </w:r>
      <w:r w:rsidRPr="00D97BA0">
        <w:rPr>
          <w:rFonts w:ascii="Arial" w:hAnsi="Arial" w:cs="Arial"/>
          <w:szCs w:val="24"/>
        </w:rPr>
        <w:t xml:space="preserve"> commercial zonings in the West Footscray Neighbourhood Activity Centre </w:t>
      </w:r>
      <w:r w:rsidR="002D75F1" w:rsidRPr="00D97BA0">
        <w:rPr>
          <w:rFonts w:ascii="Arial" w:hAnsi="Arial" w:cs="Arial"/>
          <w:szCs w:val="24"/>
        </w:rPr>
        <w:t xml:space="preserve">(NAC) </w:t>
      </w:r>
      <w:r w:rsidRPr="00D97BA0">
        <w:rPr>
          <w:rFonts w:ascii="Arial" w:hAnsi="Arial" w:cs="Arial"/>
          <w:szCs w:val="24"/>
        </w:rPr>
        <w:t>and introduce</w:t>
      </w:r>
      <w:r w:rsidR="002D75F1" w:rsidRPr="00D97BA0">
        <w:rPr>
          <w:rFonts w:ascii="Arial" w:hAnsi="Arial" w:cs="Arial"/>
          <w:szCs w:val="24"/>
        </w:rPr>
        <w:t>s</w:t>
      </w:r>
      <w:r w:rsidRPr="00D97BA0">
        <w:rPr>
          <w:rFonts w:ascii="Arial" w:hAnsi="Arial" w:cs="Arial"/>
          <w:szCs w:val="24"/>
        </w:rPr>
        <w:t xml:space="preserve"> design and development provisions to manage change in the activity centre</w:t>
      </w:r>
      <w:r w:rsidR="00210367" w:rsidRPr="00D97BA0">
        <w:rPr>
          <w:rFonts w:ascii="Arial" w:hAnsi="Arial" w:cs="Arial"/>
          <w:szCs w:val="24"/>
        </w:rPr>
        <w:t>,</w:t>
      </w:r>
      <w:r w:rsidR="002D75F1" w:rsidRPr="00D97BA0">
        <w:rPr>
          <w:rFonts w:ascii="Arial" w:hAnsi="Arial" w:cs="Arial"/>
          <w:szCs w:val="24"/>
        </w:rPr>
        <w:t xml:space="preserve"> </w:t>
      </w:r>
      <w:r w:rsidRPr="00D97BA0">
        <w:rPr>
          <w:rFonts w:ascii="Arial" w:hAnsi="Arial" w:cs="Arial"/>
          <w:szCs w:val="24"/>
        </w:rPr>
        <w:t xml:space="preserve">Barkly Street East and West Footscray Railway Station precincts. </w:t>
      </w:r>
    </w:p>
    <w:p w14:paraId="1D8D35A8" w14:textId="61711904" w:rsidR="0065230A" w:rsidRPr="00D97BA0" w:rsidRDefault="0065230A" w:rsidP="00004A81">
      <w:pPr>
        <w:spacing w:after="120"/>
        <w:jc w:val="left"/>
        <w:rPr>
          <w:rFonts w:ascii="Arial" w:hAnsi="Arial" w:cs="Arial"/>
          <w:szCs w:val="24"/>
        </w:rPr>
      </w:pPr>
      <w:r w:rsidRPr="00D97BA0">
        <w:rPr>
          <w:rFonts w:ascii="Arial" w:hAnsi="Arial" w:cs="Arial"/>
          <w:szCs w:val="24"/>
        </w:rPr>
        <w:lastRenderedPageBreak/>
        <w:t>It also identifies sites of existing or potential contamination and applies provisions to manage their remediation and redevelopment.</w:t>
      </w:r>
    </w:p>
    <w:p w14:paraId="6D21138A" w14:textId="7440A287" w:rsidR="0065230A" w:rsidRPr="00D97BA0" w:rsidRDefault="0065230A" w:rsidP="00004A81">
      <w:pPr>
        <w:spacing w:after="120"/>
        <w:jc w:val="left"/>
        <w:rPr>
          <w:rFonts w:ascii="Arial" w:hAnsi="Arial" w:cs="Arial"/>
          <w:szCs w:val="24"/>
        </w:rPr>
      </w:pPr>
      <w:r w:rsidRPr="00D97BA0">
        <w:rPr>
          <w:rFonts w:ascii="Arial" w:hAnsi="Arial" w:cs="Arial"/>
          <w:szCs w:val="24"/>
        </w:rPr>
        <w:t xml:space="preserve">The </w:t>
      </w:r>
      <w:r w:rsidR="00B25BA0" w:rsidRPr="00D97BA0">
        <w:rPr>
          <w:rFonts w:ascii="Arial" w:hAnsi="Arial" w:cs="Arial"/>
          <w:szCs w:val="24"/>
        </w:rPr>
        <w:t xml:space="preserve">land affected by the </w:t>
      </w:r>
      <w:r w:rsidR="002D75F1" w:rsidRPr="00D97BA0">
        <w:rPr>
          <w:rFonts w:ascii="Arial" w:hAnsi="Arial" w:cs="Arial"/>
          <w:szCs w:val="24"/>
        </w:rPr>
        <w:t xml:space="preserve">Amendment is divided into four main precincts, as shown in </w:t>
      </w:r>
      <w:r w:rsidRPr="00D97BA0">
        <w:rPr>
          <w:rFonts w:ascii="Arial" w:hAnsi="Arial" w:cs="Arial"/>
          <w:szCs w:val="24"/>
        </w:rPr>
        <w:t>Figure 2:</w:t>
      </w:r>
    </w:p>
    <w:p w14:paraId="2A40EF9A" w14:textId="52582279" w:rsidR="0065230A" w:rsidRPr="00D97BA0" w:rsidRDefault="0065230A" w:rsidP="0065230A">
      <w:pPr>
        <w:pStyle w:val="Caption"/>
        <w:keepNext/>
        <w:spacing w:after="0"/>
        <w:jc w:val="left"/>
        <w:rPr>
          <w:rFonts w:ascii="Arial" w:hAnsi="Arial" w:cs="Arial"/>
          <w:color w:val="auto"/>
          <w:sz w:val="24"/>
          <w:szCs w:val="24"/>
        </w:rPr>
      </w:pPr>
      <w:r w:rsidRPr="00D97BA0">
        <w:rPr>
          <w:rFonts w:ascii="Arial" w:hAnsi="Arial" w:cs="Arial"/>
          <w:color w:val="auto"/>
          <w:sz w:val="24"/>
          <w:szCs w:val="24"/>
        </w:rPr>
        <w:t xml:space="preserve">Figure 2: </w:t>
      </w:r>
      <w:r w:rsidR="002D75F1" w:rsidRPr="00D97BA0">
        <w:rPr>
          <w:rFonts w:ascii="Arial" w:hAnsi="Arial" w:cs="Arial"/>
          <w:color w:val="auto"/>
          <w:sz w:val="24"/>
          <w:szCs w:val="24"/>
        </w:rPr>
        <w:t>Amendment C162</w:t>
      </w:r>
      <w:r w:rsidR="00B724C4" w:rsidRPr="00D97BA0">
        <w:rPr>
          <w:rFonts w:ascii="Arial" w:hAnsi="Arial" w:cs="Arial"/>
          <w:color w:val="auto"/>
          <w:sz w:val="24"/>
          <w:szCs w:val="24"/>
        </w:rPr>
        <w:t>mari</w:t>
      </w:r>
      <w:r w:rsidR="002D75F1" w:rsidRPr="00D97BA0">
        <w:rPr>
          <w:rFonts w:ascii="Arial" w:hAnsi="Arial" w:cs="Arial"/>
          <w:color w:val="auto"/>
          <w:sz w:val="24"/>
          <w:szCs w:val="24"/>
        </w:rPr>
        <w:t xml:space="preserve"> </w:t>
      </w:r>
      <w:r w:rsidRPr="00D97BA0">
        <w:rPr>
          <w:rFonts w:ascii="Arial" w:hAnsi="Arial" w:cs="Arial"/>
          <w:color w:val="auto"/>
          <w:sz w:val="24"/>
          <w:szCs w:val="24"/>
        </w:rPr>
        <w:t xml:space="preserve">Precinct </w:t>
      </w:r>
      <w:r w:rsidR="002D75F1" w:rsidRPr="00D97BA0">
        <w:rPr>
          <w:rFonts w:ascii="Arial" w:hAnsi="Arial" w:cs="Arial"/>
          <w:color w:val="auto"/>
          <w:sz w:val="24"/>
          <w:szCs w:val="24"/>
        </w:rPr>
        <w:t>P</w:t>
      </w:r>
      <w:r w:rsidRPr="00D97BA0">
        <w:rPr>
          <w:rFonts w:ascii="Arial" w:hAnsi="Arial" w:cs="Arial"/>
          <w:color w:val="auto"/>
          <w:sz w:val="24"/>
          <w:szCs w:val="24"/>
        </w:rPr>
        <w:t>lan</w:t>
      </w:r>
    </w:p>
    <w:p w14:paraId="1A746001" w14:textId="77777777" w:rsidR="0065230A" w:rsidRPr="00E34741" w:rsidRDefault="0065230A" w:rsidP="0065230A">
      <w:pPr>
        <w:keepNext/>
        <w:spacing w:after="120"/>
        <w:jc w:val="left"/>
      </w:pPr>
      <w:r w:rsidRPr="00E34741">
        <w:rPr>
          <w:noProof/>
        </w:rPr>
        <w:drawing>
          <wp:inline distT="0" distB="0" distL="0" distR="0" wp14:anchorId="54A3AB5E" wp14:editId="25F2229F">
            <wp:extent cx="5273675" cy="2839085"/>
            <wp:effectExtent l="0" t="0" r="3175" b="0"/>
            <wp:docPr id="6" name="Picture 6" descr="C:\AL\Projects\WeFo Neighbourhood Plan\Maps and images\Stan\Revised Land affected by Amendment-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Projects\WeFo Neighbourhood Plan\Maps and images\Stan\Revised Land affected by Amendment-0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675" cy="283908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63"/>
      </w:tblGrid>
      <w:tr w:rsidR="00A9162D" w:rsidRPr="00D97BA0" w14:paraId="28C1C2D4" w14:textId="77777777" w:rsidTr="00A9162D">
        <w:tc>
          <w:tcPr>
            <w:tcW w:w="1271" w:type="dxa"/>
          </w:tcPr>
          <w:p w14:paraId="1E922473" w14:textId="38A99EFC" w:rsidR="00A9162D" w:rsidRPr="00D97BA0" w:rsidRDefault="00A9162D" w:rsidP="00A9162D">
            <w:pPr>
              <w:spacing w:before="0" w:after="120"/>
              <w:jc w:val="left"/>
              <w:rPr>
                <w:rFonts w:ascii="Arial" w:hAnsi="Arial" w:cs="Arial"/>
                <w:b/>
                <w:szCs w:val="24"/>
              </w:rPr>
            </w:pPr>
            <w:r w:rsidRPr="00D97BA0">
              <w:rPr>
                <w:rFonts w:ascii="Arial" w:hAnsi="Arial" w:cs="Arial"/>
                <w:b/>
                <w:szCs w:val="24"/>
              </w:rPr>
              <w:t>Precinct 1</w:t>
            </w:r>
          </w:p>
        </w:tc>
        <w:tc>
          <w:tcPr>
            <w:tcW w:w="7763" w:type="dxa"/>
          </w:tcPr>
          <w:p w14:paraId="678D09E7" w14:textId="273A2819" w:rsidR="00A9162D" w:rsidRPr="00D97BA0" w:rsidRDefault="00A9162D" w:rsidP="002D75F1">
            <w:pPr>
              <w:spacing w:before="0" w:after="120"/>
              <w:jc w:val="left"/>
              <w:rPr>
                <w:rFonts w:ascii="Arial" w:hAnsi="Arial" w:cs="Arial"/>
                <w:szCs w:val="24"/>
              </w:rPr>
            </w:pPr>
            <w:r w:rsidRPr="00D97BA0">
              <w:rPr>
                <w:rFonts w:ascii="Arial" w:hAnsi="Arial" w:cs="Arial"/>
                <w:szCs w:val="24"/>
              </w:rPr>
              <w:t xml:space="preserve">West Footscray </w:t>
            </w:r>
            <w:r w:rsidR="002D75F1" w:rsidRPr="00D97BA0">
              <w:rPr>
                <w:rFonts w:ascii="Arial" w:hAnsi="Arial" w:cs="Arial"/>
                <w:szCs w:val="24"/>
              </w:rPr>
              <w:t>NAC. Also known as ‘Barkly Village’.</w:t>
            </w:r>
          </w:p>
        </w:tc>
      </w:tr>
      <w:tr w:rsidR="00A9162D" w:rsidRPr="00D97BA0" w14:paraId="3478DBD0" w14:textId="77777777" w:rsidTr="00A9162D">
        <w:tc>
          <w:tcPr>
            <w:tcW w:w="1271" w:type="dxa"/>
          </w:tcPr>
          <w:p w14:paraId="2C5C05AD" w14:textId="06994D30" w:rsidR="00A9162D" w:rsidRPr="00D97BA0" w:rsidRDefault="00A9162D" w:rsidP="00A9162D">
            <w:pPr>
              <w:spacing w:before="0" w:after="120"/>
              <w:jc w:val="left"/>
              <w:rPr>
                <w:rFonts w:ascii="Arial" w:hAnsi="Arial" w:cs="Arial"/>
                <w:b/>
                <w:szCs w:val="24"/>
              </w:rPr>
            </w:pPr>
            <w:r w:rsidRPr="00D97BA0">
              <w:rPr>
                <w:rFonts w:ascii="Arial" w:hAnsi="Arial" w:cs="Arial"/>
                <w:b/>
                <w:szCs w:val="24"/>
              </w:rPr>
              <w:t>Precinct 2</w:t>
            </w:r>
          </w:p>
        </w:tc>
        <w:tc>
          <w:tcPr>
            <w:tcW w:w="7763" w:type="dxa"/>
          </w:tcPr>
          <w:p w14:paraId="24611F75" w14:textId="77777777" w:rsidR="00A9162D" w:rsidRPr="00D97BA0" w:rsidRDefault="00A9162D" w:rsidP="00A9162D">
            <w:pPr>
              <w:spacing w:before="0"/>
              <w:jc w:val="left"/>
              <w:rPr>
                <w:rFonts w:ascii="Arial" w:hAnsi="Arial" w:cs="Arial"/>
                <w:szCs w:val="24"/>
              </w:rPr>
            </w:pPr>
            <w:r w:rsidRPr="00D97BA0">
              <w:rPr>
                <w:rFonts w:ascii="Arial" w:hAnsi="Arial" w:cs="Arial"/>
                <w:szCs w:val="24"/>
              </w:rPr>
              <w:t xml:space="preserve">Barkly Street East - northern side </w:t>
            </w:r>
          </w:p>
          <w:p w14:paraId="61527C56" w14:textId="4F2A21FB" w:rsidR="00A9162D" w:rsidRPr="00D97BA0" w:rsidRDefault="00A9162D" w:rsidP="00A9162D">
            <w:pPr>
              <w:spacing w:before="0" w:after="120"/>
              <w:jc w:val="left"/>
              <w:rPr>
                <w:rFonts w:ascii="Arial" w:hAnsi="Arial" w:cs="Arial"/>
                <w:szCs w:val="24"/>
              </w:rPr>
            </w:pPr>
            <w:r w:rsidRPr="00D97BA0">
              <w:rPr>
                <w:rFonts w:ascii="Arial" w:hAnsi="Arial" w:cs="Arial"/>
                <w:szCs w:val="24"/>
              </w:rPr>
              <w:t>(northern side of Barkly Street between Summerhill Road and Gordon Street)</w:t>
            </w:r>
          </w:p>
        </w:tc>
      </w:tr>
      <w:tr w:rsidR="00A9162D" w:rsidRPr="00D97BA0" w14:paraId="0AD7BC39" w14:textId="77777777" w:rsidTr="00A9162D">
        <w:tc>
          <w:tcPr>
            <w:tcW w:w="1271" w:type="dxa"/>
          </w:tcPr>
          <w:p w14:paraId="695C4C32" w14:textId="7BE4BE8A" w:rsidR="00A9162D" w:rsidRPr="00D97BA0" w:rsidRDefault="00A9162D" w:rsidP="00A9162D">
            <w:pPr>
              <w:spacing w:before="0" w:after="120"/>
              <w:jc w:val="left"/>
              <w:rPr>
                <w:rFonts w:ascii="Arial" w:hAnsi="Arial" w:cs="Arial"/>
                <w:b/>
                <w:szCs w:val="24"/>
              </w:rPr>
            </w:pPr>
            <w:r w:rsidRPr="00D97BA0">
              <w:rPr>
                <w:rFonts w:ascii="Arial" w:hAnsi="Arial" w:cs="Arial"/>
                <w:b/>
                <w:szCs w:val="24"/>
              </w:rPr>
              <w:t>Precinct 3</w:t>
            </w:r>
          </w:p>
        </w:tc>
        <w:tc>
          <w:tcPr>
            <w:tcW w:w="7763" w:type="dxa"/>
          </w:tcPr>
          <w:p w14:paraId="14E40670" w14:textId="5FECD387" w:rsidR="00A9162D" w:rsidRPr="00D97BA0" w:rsidRDefault="00A9162D" w:rsidP="00A9162D">
            <w:pPr>
              <w:spacing w:before="0" w:after="120"/>
              <w:jc w:val="left"/>
              <w:rPr>
                <w:rFonts w:ascii="Arial" w:hAnsi="Arial" w:cs="Arial"/>
                <w:szCs w:val="24"/>
              </w:rPr>
            </w:pPr>
            <w:r w:rsidRPr="00D97BA0">
              <w:rPr>
                <w:rFonts w:ascii="Arial" w:hAnsi="Arial" w:cs="Arial"/>
                <w:szCs w:val="24"/>
              </w:rPr>
              <w:t>West Footscray Railway Station</w:t>
            </w:r>
            <w:r w:rsidR="002F799D" w:rsidRPr="00D97BA0">
              <w:rPr>
                <w:rFonts w:ascii="Arial" w:hAnsi="Arial" w:cs="Arial"/>
                <w:szCs w:val="24"/>
              </w:rPr>
              <w:t xml:space="preserve"> (4, 6 and 8 Cross Street)</w:t>
            </w:r>
          </w:p>
        </w:tc>
      </w:tr>
      <w:tr w:rsidR="00A9162D" w:rsidRPr="00D97BA0" w14:paraId="27D91DB8" w14:textId="77777777" w:rsidTr="00A9162D">
        <w:tc>
          <w:tcPr>
            <w:tcW w:w="1271" w:type="dxa"/>
          </w:tcPr>
          <w:p w14:paraId="4E9F8868" w14:textId="3A567C91" w:rsidR="00A9162D" w:rsidRPr="00D97BA0" w:rsidRDefault="00A9162D" w:rsidP="00A9162D">
            <w:pPr>
              <w:spacing w:before="0" w:after="120"/>
              <w:jc w:val="left"/>
              <w:rPr>
                <w:rFonts w:ascii="Arial" w:hAnsi="Arial" w:cs="Arial"/>
                <w:b/>
                <w:szCs w:val="24"/>
              </w:rPr>
            </w:pPr>
            <w:r w:rsidRPr="00D97BA0">
              <w:rPr>
                <w:rFonts w:ascii="Arial" w:hAnsi="Arial" w:cs="Arial"/>
                <w:b/>
                <w:szCs w:val="24"/>
              </w:rPr>
              <w:t>Precinct 4</w:t>
            </w:r>
          </w:p>
        </w:tc>
        <w:tc>
          <w:tcPr>
            <w:tcW w:w="7763" w:type="dxa"/>
          </w:tcPr>
          <w:p w14:paraId="4EE8AC88" w14:textId="5E6F26E9" w:rsidR="00A9162D" w:rsidRPr="00D97BA0" w:rsidRDefault="00A9162D" w:rsidP="00A9162D">
            <w:pPr>
              <w:spacing w:before="0"/>
              <w:jc w:val="left"/>
              <w:rPr>
                <w:rFonts w:ascii="Arial" w:hAnsi="Arial" w:cs="Arial"/>
                <w:szCs w:val="24"/>
              </w:rPr>
            </w:pPr>
            <w:r w:rsidRPr="00D97BA0">
              <w:rPr>
                <w:rFonts w:ascii="Arial" w:hAnsi="Arial" w:cs="Arial"/>
                <w:szCs w:val="24"/>
              </w:rPr>
              <w:t>Barkly Street East – southern side</w:t>
            </w:r>
          </w:p>
          <w:p w14:paraId="5940D931" w14:textId="2D279D09" w:rsidR="00A9162D" w:rsidRPr="00D97BA0" w:rsidRDefault="00A9162D" w:rsidP="00A9162D">
            <w:pPr>
              <w:spacing w:before="0" w:after="120"/>
              <w:jc w:val="left"/>
              <w:rPr>
                <w:rFonts w:ascii="Arial" w:hAnsi="Arial" w:cs="Arial"/>
                <w:szCs w:val="24"/>
              </w:rPr>
            </w:pPr>
            <w:r w:rsidRPr="00D97BA0">
              <w:rPr>
                <w:rFonts w:ascii="Arial" w:hAnsi="Arial" w:cs="Arial"/>
                <w:szCs w:val="24"/>
              </w:rPr>
              <w:t>(southern side of Barkly Street between West Footscray NAC and Whitten Oval)</w:t>
            </w:r>
          </w:p>
        </w:tc>
      </w:tr>
    </w:tbl>
    <w:p w14:paraId="75009004" w14:textId="77777777" w:rsidR="00A9162D" w:rsidRPr="00D97BA0" w:rsidRDefault="00A9162D" w:rsidP="0065230A">
      <w:pPr>
        <w:spacing w:before="0"/>
        <w:jc w:val="left"/>
        <w:rPr>
          <w:rFonts w:ascii="Arial" w:hAnsi="Arial" w:cs="Arial"/>
          <w:szCs w:val="24"/>
          <w:highlight w:val="yellow"/>
        </w:rPr>
      </w:pPr>
    </w:p>
    <w:p w14:paraId="22EBBE80" w14:textId="6750DD84" w:rsidR="00182E17" w:rsidRPr="00D97BA0" w:rsidRDefault="002D75F1" w:rsidP="00004A81">
      <w:pPr>
        <w:spacing w:after="120"/>
        <w:jc w:val="left"/>
        <w:rPr>
          <w:rFonts w:ascii="Arial" w:hAnsi="Arial" w:cs="Arial"/>
          <w:szCs w:val="24"/>
        </w:rPr>
      </w:pPr>
      <w:r w:rsidRPr="00D97BA0">
        <w:rPr>
          <w:rFonts w:ascii="Arial" w:hAnsi="Arial" w:cs="Arial"/>
          <w:szCs w:val="24"/>
        </w:rPr>
        <w:t>Specifically, the Amendment</w:t>
      </w:r>
      <w:r w:rsidR="00B34AA9" w:rsidRPr="00D97BA0">
        <w:rPr>
          <w:rFonts w:ascii="Arial" w:hAnsi="Arial" w:cs="Arial"/>
          <w:szCs w:val="24"/>
        </w:rPr>
        <w:t>:</w:t>
      </w:r>
    </w:p>
    <w:p w14:paraId="3E689E19" w14:textId="244F10B6" w:rsidR="009A149F" w:rsidRPr="00D97BA0" w:rsidRDefault="00B34AA9" w:rsidP="001C0593">
      <w:pPr>
        <w:pStyle w:val="Bullet1"/>
        <w:ind w:left="284" w:hanging="284"/>
        <w:rPr>
          <w:sz w:val="24"/>
          <w:szCs w:val="24"/>
        </w:rPr>
      </w:pPr>
      <w:r w:rsidRPr="00D97BA0">
        <w:rPr>
          <w:sz w:val="24"/>
          <w:szCs w:val="24"/>
        </w:rPr>
        <w:t>Amend</w:t>
      </w:r>
      <w:r w:rsidR="002D75F1" w:rsidRPr="00D97BA0">
        <w:rPr>
          <w:sz w:val="24"/>
          <w:szCs w:val="24"/>
        </w:rPr>
        <w:t>s</w:t>
      </w:r>
      <w:r w:rsidR="009A149F" w:rsidRPr="00D97BA0">
        <w:rPr>
          <w:sz w:val="24"/>
          <w:szCs w:val="24"/>
        </w:rPr>
        <w:t xml:space="preserve"> the Municipal Strategic Statement at clauses 21.01, 21.03, 21,04, 21.05, 21.07, 2</w:t>
      </w:r>
      <w:r w:rsidR="001E1124" w:rsidRPr="00D97BA0">
        <w:rPr>
          <w:sz w:val="24"/>
          <w:szCs w:val="24"/>
        </w:rPr>
        <w:t>1.08, 21.11, 21.1</w:t>
      </w:r>
      <w:r w:rsidR="00AC4DD2" w:rsidRPr="00D97BA0">
        <w:rPr>
          <w:sz w:val="24"/>
          <w:szCs w:val="24"/>
        </w:rPr>
        <w:t>2 and 21.14 to reflect the WFNP by:</w:t>
      </w:r>
    </w:p>
    <w:p w14:paraId="4422C1E7" w14:textId="378CF5E1" w:rsidR="00A9162D" w:rsidRPr="00D97BA0" w:rsidRDefault="00A9162D" w:rsidP="00A9162D">
      <w:pPr>
        <w:pStyle w:val="Bullet1"/>
        <w:numPr>
          <w:ilvl w:val="1"/>
          <w:numId w:val="5"/>
        </w:numPr>
        <w:rPr>
          <w:sz w:val="24"/>
          <w:szCs w:val="24"/>
        </w:rPr>
      </w:pPr>
      <w:r w:rsidRPr="00D97BA0">
        <w:rPr>
          <w:sz w:val="24"/>
          <w:szCs w:val="24"/>
        </w:rPr>
        <w:t>Updating land use and built form policy for West Footscray NAC</w:t>
      </w:r>
      <w:r w:rsidR="002234D2" w:rsidRPr="00D97BA0">
        <w:rPr>
          <w:sz w:val="24"/>
          <w:szCs w:val="24"/>
        </w:rPr>
        <w:t xml:space="preserve"> (Precinct 1)</w:t>
      </w:r>
      <w:r w:rsidRPr="00D97BA0">
        <w:rPr>
          <w:sz w:val="24"/>
          <w:szCs w:val="24"/>
        </w:rPr>
        <w:t xml:space="preserve"> to strengthen its role as the focus for retail, commercial and local services with a residential population in integrated apartment developments.</w:t>
      </w:r>
    </w:p>
    <w:p w14:paraId="1A5BD83B" w14:textId="12A73E69" w:rsidR="002234D2" w:rsidRPr="00D97BA0" w:rsidRDefault="00A9162D" w:rsidP="00A9162D">
      <w:pPr>
        <w:pStyle w:val="Bullet1"/>
        <w:numPr>
          <w:ilvl w:val="1"/>
          <w:numId w:val="5"/>
        </w:numPr>
        <w:rPr>
          <w:sz w:val="24"/>
          <w:szCs w:val="24"/>
        </w:rPr>
      </w:pPr>
      <w:r w:rsidRPr="00D97BA0">
        <w:rPr>
          <w:sz w:val="24"/>
          <w:szCs w:val="24"/>
        </w:rPr>
        <w:t xml:space="preserve">Introducing new policy for </w:t>
      </w:r>
      <w:r w:rsidR="001D1A57" w:rsidRPr="00D97BA0">
        <w:rPr>
          <w:sz w:val="24"/>
          <w:szCs w:val="24"/>
        </w:rPr>
        <w:t>P</w:t>
      </w:r>
      <w:r w:rsidRPr="00D97BA0">
        <w:rPr>
          <w:sz w:val="24"/>
          <w:szCs w:val="24"/>
        </w:rPr>
        <w:t xml:space="preserve">recincts 2 and 3 to support uses that complement the </w:t>
      </w:r>
      <w:r w:rsidR="002D75F1" w:rsidRPr="00D97BA0">
        <w:rPr>
          <w:sz w:val="24"/>
          <w:szCs w:val="24"/>
        </w:rPr>
        <w:t>NAC</w:t>
      </w:r>
      <w:r w:rsidR="00F2627D" w:rsidRPr="00D97BA0">
        <w:rPr>
          <w:sz w:val="24"/>
          <w:szCs w:val="24"/>
        </w:rPr>
        <w:t xml:space="preserve"> and facilitate diverse housing opportunities. </w:t>
      </w:r>
    </w:p>
    <w:p w14:paraId="3FE9D4E5" w14:textId="0A426EA6" w:rsidR="00F2627D" w:rsidRPr="00D97BA0" w:rsidRDefault="00F0706D" w:rsidP="00A9162D">
      <w:pPr>
        <w:pStyle w:val="Bullet1"/>
        <w:numPr>
          <w:ilvl w:val="1"/>
          <w:numId w:val="5"/>
        </w:numPr>
        <w:rPr>
          <w:sz w:val="24"/>
          <w:szCs w:val="24"/>
        </w:rPr>
      </w:pPr>
      <w:r w:rsidRPr="00D97BA0">
        <w:rPr>
          <w:sz w:val="24"/>
          <w:szCs w:val="24"/>
        </w:rPr>
        <w:t>Identifying further strategic work on the role of the Mixed Use Zone land in the NAC and p</w:t>
      </w:r>
      <w:r w:rsidR="00F2627D" w:rsidRPr="00D97BA0">
        <w:rPr>
          <w:sz w:val="24"/>
          <w:szCs w:val="24"/>
        </w:rPr>
        <w:t xml:space="preserve">roviding guidance on the potential transition of Precinct 4 to </w:t>
      </w:r>
      <w:r w:rsidRPr="00D97BA0">
        <w:rPr>
          <w:sz w:val="24"/>
          <w:szCs w:val="24"/>
        </w:rPr>
        <w:t xml:space="preserve">facilitate a mix of </w:t>
      </w:r>
      <w:r w:rsidR="00F2627D" w:rsidRPr="00D97BA0">
        <w:rPr>
          <w:sz w:val="24"/>
          <w:szCs w:val="24"/>
        </w:rPr>
        <w:t>residential</w:t>
      </w:r>
      <w:r w:rsidRPr="00D97BA0">
        <w:rPr>
          <w:sz w:val="24"/>
          <w:szCs w:val="24"/>
        </w:rPr>
        <w:t xml:space="preserve"> and commercial (non-retail) uses</w:t>
      </w:r>
      <w:r w:rsidR="00F2627D" w:rsidRPr="00D97BA0">
        <w:rPr>
          <w:sz w:val="24"/>
          <w:szCs w:val="24"/>
        </w:rPr>
        <w:t>.</w:t>
      </w:r>
    </w:p>
    <w:p w14:paraId="58791F2B" w14:textId="29820F3D" w:rsidR="00F2627D" w:rsidRPr="00D97BA0" w:rsidRDefault="00F2627D" w:rsidP="00A9162D">
      <w:pPr>
        <w:pStyle w:val="Bullet1"/>
        <w:numPr>
          <w:ilvl w:val="1"/>
          <w:numId w:val="5"/>
        </w:numPr>
        <w:rPr>
          <w:sz w:val="24"/>
          <w:szCs w:val="24"/>
        </w:rPr>
      </w:pPr>
      <w:r w:rsidRPr="00D97BA0">
        <w:rPr>
          <w:sz w:val="24"/>
          <w:szCs w:val="24"/>
        </w:rPr>
        <w:lastRenderedPageBreak/>
        <w:t>Updati</w:t>
      </w:r>
      <w:r w:rsidR="002D75F1" w:rsidRPr="00D97BA0">
        <w:rPr>
          <w:sz w:val="24"/>
          <w:szCs w:val="24"/>
        </w:rPr>
        <w:t>ng the municipal framework plan maps</w:t>
      </w:r>
      <w:r w:rsidRPr="00D97BA0">
        <w:rPr>
          <w:sz w:val="24"/>
          <w:szCs w:val="24"/>
        </w:rPr>
        <w:t xml:space="preserve"> to align with the WFNP.</w:t>
      </w:r>
    </w:p>
    <w:p w14:paraId="207B5926" w14:textId="77777777" w:rsidR="00F2627D" w:rsidRPr="00D97BA0" w:rsidRDefault="00F2627D" w:rsidP="00A9162D">
      <w:pPr>
        <w:pStyle w:val="Bullet1"/>
        <w:numPr>
          <w:ilvl w:val="1"/>
          <w:numId w:val="5"/>
        </w:numPr>
        <w:rPr>
          <w:sz w:val="24"/>
          <w:szCs w:val="24"/>
        </w:rPr>
      </w:pPr>
      <w:r w:rsidRPr="00D97BA0">
        <w:rPr>
          <w:sz w:val="24"/>
          <w:szCs w:val="24"/>
        </w:rPr>
        <w:t>Including the WFNP as a Reference Document in the planning scheme.</w:t>
      </w:r>
    </w:p>
    <w:p w14:paraId="7DBE6C7D" w14:textId="5B1DD014" w:rsidR="00A9162D" w:rsidRPr="00D97BA0" w:rsidRDefault="00F2627D" w:rsidP="00A9162D">
      <w:pPr>
        <w:pStyle w:val="Bullet1"/>
        <w:numPr>
          <w:ilvl w:val="1"/>
          <w:numId w:val="5"/>
        </w:numPr>
        <w:rPr>
          <w:sz w:val="24"/>
          <w:szCs w:val="24"/>
        </w:rPr>
      </w:pPr>
      <w:r w:rsidRPr="00D97BA0">
        <w:rPr>
          <w:sz w:val="24"/>
          <w:szCs w:val="24"/>
        </w:rPr>
        <w:t>Removing redundant references to the West Footscray Urban Design Framework</w:t>
      </w:r>
      <w:r w:rsidR="001F0149" w:rsidRPr="00D97BA0">
        <w:rPr>
          <w:sz w:val="24"/>
          <w:szCs w:val="24"/>
        </w:rPr>
        <w:t xml:space="preserve"> (UDF)</w:t>
      </w:r>
      <w:r w:rsidRPr="00D97BA0">
        <w:rPr>
          <w:sz w:val="24"/>
          <w:szCs w:val="24"/>
        </w:rPr>
        <w:t xml:space="preserve"> 2008 (predecessor to the WFNP).  </w:t>
      </w:r>
    </w:p>
    <w:p w14:paraId="78B3E3C9" w14:textId="7D90DDA6" w:rsidR="001E1124" w:rsidRPr="00D97BA0" w:rsidRDefault="00B34AA9" w:rsidP="001C0593">
      <w:pPr>
        <w:pStyle w:val="Bullet1"/>
        <w:ind w:left="284" w:hanging="284"/>
        <w:rPr>
          <w:sz w:val="24"/>
          <w:szCs w:val="24"/>
        </w:rPr>
      </w:pPr>
      <w:r w:rsidRPr="00D97BA0">
        <w:rPr>
          <w:sz w:val="24"/>
          <w:szCs w:val="24"/>
        </w:rPr>
        <w:t>Rezone</w:t>
      </w:r>
      <w:r w:rsidR="00F0706D" w:rsidRPr="00D97BA0">
        <w:rPr>
          <w:sz w:val="24"/>
          <w:szCs w:val="24"/>
        </w:rPr>
        <w:t>s</w:t>
      </w:r>
      <w:r w:rsidR="001E1124" w:rsidRPr="00D97BA0">
        <w:rPr>
          <w:sz w:val="24"/>
          <w:szCs w:val="24"/>
        </w:rPr>
        <w:t xml:space="preserve"> selected </w:t>
      </w:r>
      <w:r w:rsidR="00F2627D" w:rsidRPr="00D97BA0">
        <w:rPr>
          <w:sz w:val="24"/>
          <w:szCs w:val="24"/>
        </w:rPr>
        <w:t>land</w:t>
      </w:r>
      <w:r w:rsidR="001E1124" w:rsidRPr="00D97BA0">
        <w:rPr>
          <w:sz w:val="24"/>
          <w:szCs w:val="24"/>
        </w:rPr>
        <w:t xml:space="preserve"> in the West Footscray </w:t>
      </w:r>
      <w:r w:rsidR="00F2627D" w:rsidRPr="00D97BA0">
        <w:rPr>
          <w:sz w:val="24"/>
          <w:szCs w:val="24"/>
        </w:rPr>
        <w:t>NAC from the General Residential</w:t>
      </w:r>
      <w:r w:rsidR="00FF65B2" w:rsidRPr="00D97BA0">
        <w:rPr>
          <w:sz w:val="24"/>
          <w:szCs w:val="24"/>
        </w:rPr>
        <w:t xml:space="preserve"> 1</w:t>
      </w:r>
      <w:r w:rsidR="00F2627D" w:rsidRPr="00D97BA0">
        <w:rPr>
          <w:sz w:val="24"/>
          <w:szCs w:val="24"/>
        </w:rPr>
        <w:t xml:space="preserve">, Mixed Use and Commercial 2 </w:t>
      </w:r>
      <w:r w:rsidR="00241836" w:rsidRPr="00D97BA0">
        <w:rPr>
          <w:sz w:val="24"/>
          <w:szCs w:val="24"/>
        </w:rPr>
        <w:t>Z</w:t>
      </w:r>
      <w:r w:rsidR="00F2627D" w:rsidRPr="00D97BA0">
        <w:rPr>
          <w:sz w:val="24"/>
          <w:szCs w:val="24"/>
        </w:rPr>
        <w:t>ones to Commercial 1 Zone.</w:t>
      </w:r>
    </w:p>
    <w:p w14:paraId="2AAC7849" w14:textId="45BA0560" w:rsidR="00F2627D" w:rsidRPr="00D97BA0" w:rsidRDefault="00B34AA9" w:rsidP="00F2627D">
      <w:pPr>
        <w:pStyle w:val="Bullet1"/>
        <w:ind w:left="284" w:hanging="284"/>
        <w:rPr>
          <w:sz w:val="24"/>
          <w:szCs w:val="24"/>
        </w:rPr>
      </w:pPr>
      <w:r w:rsidRPr="00D97BA0">
        <w:rPr>
          <w:sz w:val="24"/>
          <w:szCs w:val="24"/>
        </w:rPr>
        <w:t>Insert</w:t>
      </w:r>
      <w:r w:rsidR="00F0706D" w:rsidRPr="00D97BA0">
        <w:rPr>
          <w:sz w:val="24"/>
          <w:szCs w:val="24"/>
        </w:rPr>
        <w:t>s</w:t>
      </w:r>
      <w:r w:rsidR="00F2627D" w:rsidRPr="00D97BA0">
        <w:rPr>
          <w:sz w:val="24"/>
          <w:szCs w:val="24"/>
        </w:rPr>
        <w:t xml:space="preserve"> Schedule </w:t>
      </w:r>
      <w:r w:rsidR="00DF0A9C" w:rsidRPr="00D97BA0">
        <w:rPr>
          <w:sz w:val="24"/>
          <w:szCs w:val="24"/>
        </w:rPr>
        <w:t>3</w:t>
      </w:r>
      <w:r w:rsidR="00F2627D" w:rsidRPr="00D97BA0">
        <w:rPr>
          <w:sz w:val="24"/>
          <w:szCs w:val="24"/>
        </w:rPr>
        <w:t xml:space="preserve"> to the General Residential Zone and </w:t>
      </w:r>
      <w:r w:rsidRPr="00D97BA0">
        <w:rPr>
          <w:sz w:val="24"/>
          <w:szCs w:val="24"/>
        </w:rPr>
        <w:t>appl</w:t>
      </w:r>
      <w:r w:rsidR="00F0706D" w:rsidRPr="00D97BA0">
        <w:rPr>
          <w:sz w:val="24"/>
          <w:szCs w:val="24"/>
        </w:rPr>
        <w:t>ies</w:t>
      </w:r>
      <w:r w:rsidRPr="00D97BA0">
        <w:rPr>
          <w:sz w:val="24"/>
          <w:szCs w:val="24"/>
        </w:rPr>
        <w:t xml:space="preserve"> </w:t>
      </w:r>
      <w:r w:rsidR="00F0706D" w:rsidRPr="00D97BA0">
        <w:rPr>
          <w:sz w:val="24"/>
          <w:szCs w:val="24"/>
        </w:rPr>
        <w:t>it</w:t>
      </w:r>
      <w:r w:rsidR="00F2627D" w:rsidRPr="00D97BA0">
        <w:rPr>
          <w:sz w:val="24"/>
          <w:szCs w:val="24"/>
        </w:rPr>
        <w:t xml:space="preserve"> to all land in Precinct 2.   </w:t>
      </w:r>
    </w:p>
    <w:p w14:paraId="35F4D146" w14:textId="20D60DCE" w:rsidR="00F2627D" w:rsidRPr="00D97BA0" w:rsidRDefault="00B34AA9" w:rsidP="001C0593">
      <w:pPr>
        <w:pStyle w:val="Bullet1"/>
        <w:ind w:left="284" w:hanging="284"/>
        <w:rPr>
          <w:sz w:val="24"/>
          <w:szCs w:val="24"/>
        </w:rPr>
      </w:pPr>
      <w:r w:rsidRPr="00D97BA0">
        <w:rPr>
          <w:sz w:val="24"/>
          <w:szCs w:val="24"/>
        </w:rPr>
        <w:t>Rezone</w:t>
      </w:r>
      <w:r w:rsidR="00F0706D" w:rsidRPr="00D97BA0">
        <w:rPr>
          <w:sz w:val="24"/>
          <w:szCs w:val="24"/>
        </w:rPr>
        <w:t>s</w:t>
      </w:r>
      <w:r w:rsidR="00F2627D" w:rsidRPr="00D97BA0">
        <w:rPr>
          <w:sz w:val="24"/>
          <w:szCs w:val="24"/>
        </w:rPr>
        <w:t xml:space="preserve"> land in Precinct 3 from the Commercial 2 and General Residential </w:t>
      </w:r>
      <w:r w:rsidR="008B324D" w:rsidRPr="00D97BA0">
        <w:rPr>
          <w:sz w:val="24"/>
          <w:szCs w:val="24"/>
        </w:rPr>
        <w:t>1 Z</w:t>
      </w:r>
      <w:r w:rsidR="00F2627D" w:rsidRPr="00D97BA0">
        <w:rPr>
          <w:sz w:val="24"/>
          <w:szCs w:val="24"/>
        </w:rPr>
        <w:t xml:space="preserve">ones to Mixed Use Zone. </w:t>
      </w:r>
    </w:p>
    <w:p w14:paraId="13EDFED5" w14:textId="1FA35B35" w:rsidR="00F2627D" w:rsidRPr="00D97BA0" w:rsidRDefault="00F2627D" w:rsidP="001C0593">
      <w:pPr>
        <w:pStyle w:val="Bullet1"/>
        <w:ind w:left="284" w:hanging="284"/>
        <w:rPr>
          <w:sz w:val="24"/>
          <w:szCs w:val="24"/>
        </w:rPr>
      </w:pPr>
      <w:r w:rsidRPr="00D97BA0">
        <w:rPr>
          <w:sz w:val="24"/>
          <w:szCs w:val="24"/>
        </w:rPr>
        <w:t>Revise</w:t>
      </w:r>
      <w:r w:rsidR="00F0706D" w:rsidRPr="00D97BA0">
        <w:rPr>
          <w:sz w:val="24"/>
          <w:szCs w:val="24"/>
        </w:rPr>
        <w:t>s</w:t>
      </w:r>
      <w:r w:rsidRPr="00D97BA0">
        <w:rPr>
          <w:sz w:val="24"/>
          <w:szCs w:val="24"/>
        </w:rPr>
        <w:t xml:space="preserve"> Design and Development </w:t>
      </w:r>
      <w:r w:rsidR="00B34AA9" w:rsidRPr="00D97BA0">
        <w:rPr>
          <w:sz w:val="24"/>
          <w:szCs w:val="24"/>
        </w:rPr>
        <w:t xml:space="preserve">Overlay – Schedule 7 </w:t>
      </w:r>
      <w:r w:rsidR="00F0706D" w:rsidRPr="00D97BA0">
        <w:rPr>
          <w:sz w:val="24"/>
          <w:szCs w:val="24"/>
        </w:rPr>
        <w:t xml:space="preserve">(DDO7) </w:t>
      </w:r>
      <w:r w:rsidR="00B34AA9" w:rsidRPr="00D97BA0">
        <w:rPr>
          <w:sz w:val="24"/>
          <w:szCs w:val="24"/>
        </w:rPr>
        <w:t>and extend</w:t>
      </w:r>
      <w:r w:rsidR="00F0706D" w:rsidRPr="00D97BA0">
        <w:rPr>
          <w:sz w:val="24"/>
          <w:szCs w:val="24"/>
        </w:rPr>
        <w:t>s</w:t>
      </w:r>
      <w:r w:rsidRPr="00D97BA0">
        <w:rPr>
          <w:sz w:val="24"/>
          <w:szCs w:val="24"/>
        </w:rPr>
        <w:t xml:space="preserve"> its application include all land in </w:t>
      </w:r>
      <w:r w:rsidR="008B324D" w:rsidRPr="00D97BA0">
        <w:rPr>
          <w:sz w:val="24"/>
          <w:szCs w:val="24"/>
        </w:rPr>
        <w:t>P</w:t>
      </w:r>
      <w:r w:rsidRPr="00D97BA0">
        <w:rPr>
          <w:sz w:val="24"/>
          <w:szCs w:val="24"/>
        </w:rPr>
        <w:t>recincts 1</w:t>
      </w:r>
      <w:r w:rsidR="00E34741" w:rsidRPr="00D97BA0">
        <w:rPr>
          <w:sz w:val="24"/>
          <w:szCs w:val="24"/>
        </w:rPr>
        <w:t xml:space="preserve"> and</w:t>
      </w:r>
      <w:r w:rsidRPr="00D97BA0">
        <w:rPr>
          <w:sz w:val="24"/>
          <w:szCs w:val="24"/>
        </w:rPr>
        <w:t xml:space="preserve"> 2. </w:t>
      </w:r>
      <w:r w:rsidR="00CF4AB0" w:rsidRPr="00D97BA0">
        <w:rPr>
          <w:sz w:val="24"/>
          <w:szCs w:val="24"/>
        </w:rPr>
        <w:t>This does not apply to:</w:t>
      </w:r>
    </w:p>
    <w:p w14:paraId="765E835C" w14:textId="1240817C" w:rsidR="00A9162D" w:rsidRPr="00D97BA0" w:rsidRDefault="00A9162D" w:rsidP="00A9162D">
      <w:pPr>
        <w:pStyle w:val="Bullet1"/>
        <w:numPr>
          <w:ilvl w:val="1"/>
          <w:numId w:val="5"/>
        </w:numPr>
        <w:rPr>
          <w:sz w:val="24"/>
          <w:szCs w:val="24"/>
        </w:rPr>
      </w:pPr>
      <w:r w:rsidRPr="00D97BA0">
        <w:rPr>
          <w:sz w:val="24"/>
          <w:szCs w:val="24"/>
        </w:rPr>
        <w:t>Properties in Precinct 1 affected by the existing Development Plan Overlay – Schedule 10 (481-491A Barkly Street, 22-32 Hewitt Avenue and 45-57 Hewitt Avenue).</w:t>
      </w:r>
    </w:p>
    <w:p w14:paraId="752E912F" w14:textId="4B900A34" w:rsidR="00A9162D" w:rsidRPr="00D97BA0" w:rsidRDefault="00A9162D" w:rsidP="00A9162D">
      <w:pPr>
        <w:pStyle w:val="Bullet1"/>
        <w:numPr>
          <w:ilvl w:val="1"/>
          <w:numId w:val="5"/>
        </w:numPr>
        <w:rPr>
          <w:sz w:val="24"/>
          <w:szCs w:val="24"/>
        </w:rPr>
      </w:pPr>
      <w:r w:rsidRPr="00D97BA0">
        <w:rPr>
          <w:sz w:val="24"/>
          <w:szCs w:val="24"/>
        </w:rPr>
        <w:t xml:space="preserve">The rear portion of the </w:t>
      </w:r>
      <w:r w:rsidR="00B34AA9" w:rsidRPr="00D97BA0">
        <w:rPr>
          <w:sz w:val="24"/>
          <w:szCs w:val="24"/>
        </w:rPr>
        <w:t>supermarket</w:t>
      </w:r>
      <w:r w:rsidRPr="00D97BA0">
        <w:rPr>
          <w:sz w:val="24"/>
          <w:szCs w:val="24"/>
        </w:rPr>
        <w:t xml:space="preserve"> carpark fronting Milton Street in Precinct 1 (comprising Lot 1 on TP742312, Lot 25 on LP700, Lot 24 on LP700, Lot 1 on TP135229 and Lot 1 on TP692860).  </w:t>
      </w:r>
    </w:p>
    <w:p w14:paraId="7C924752" w14:textId="234D326B" w:rsidR="001C0593" w:rsidRPr="00D97BA0" w:rsidRDefault="00E34741" w:rsidP="001C0593">
      <w:pPr>
        <w:pStyle w:val="Bullet1"/>
        <w:ind w:left="284" w:hanging="284"/>
        <w:rPr>
          <w:sz w:val="24"/>
          <w:szCs w:val="24"/>
        </w:rPr>
      </w:pPr>
      <w:r w:rsidRPr="00D97BA0">
        <w:rPr>
          <w:sz w:val="24"/>
          <w:szCs w:val="24"/>
        </w:rPr>
        <w:t>Revise</w:t>
      </w:r>
      <w:r w:rsidR="00F0706D" w:rsidRPr="00D97BA0">
        <w:rPr>
          <w:sz w:val="24"/>
          <w:szCs w:val="24"/>
        </w:rPr>
        <w:t>s</w:t>
      </w:r>
      <w:r w:rsidR="001C0593" w:rsidRPr="00D97BA0">
        <w:rPr>
          <w:sz w:val="24"/>
          <w:szCs w:val="24"/>
        </w:rPr>
        <w:t xml:space="preserve"> Design and Development Overlay – Schedule 8</w:t>
      </w:r>
      <w:r w:rsidR="00F0706D" w:rsidRPr="00D97BA0">
        <w:rPr>
          <w:sz w:val="24"/>
          <w:szCs w:val="24"/>
        </w:rPr>
        <w:t xml:space="preserve"> </w:t>
      </w:r>
      <w:r w:rsidRPr="00D97BA0">
        <w:rPr>
          <w:sz w:val="24"/>
          <w:szCs w:val="24"/>
        </w:rPr>
        <w:t>and extend</w:t>
      </w:r>
      <w:r w:rsidR="00F0706D" w:rsidRPr="00D97BA0">
        <w:rPr>
          <w:sz w:val="24"/>
          <w:szCs w:val="24"/>
        </w:rPr>
        <w:t>s</w:t>
      </w:r>
      <w:r w:rsidRPr="00D97BA0">
        <w:rPr>
          <w:sz w:val="24"/>
          <w:szCs w:val="24"/>
        </w:rPr>
        <w:t xml:space="preserve"> its application to include all land in Precinct 3</w:t>
      </w:r>
      <w:r w:rsidR="001C0593" w:rsidRPr="00D97BA0">
        <w:rPr>
          <w:sz w:val="24"/>
          <w:szCs w:val="24"/>
        </w:rPr>
        <w:t xml:space="preserve">. </w:t>
      </w:r>
    </w:p>
    <w:p w14:paraId="29ADC674" w14:textId="2D243743" w:rsidR="001C0593" w:rsidRPr="00D97BA0" w:rsidRDefault="00F0706D" w:rsidP="001C0593">
      <w:pPr>
        <w:pStyle w:val="Bullet1"/>
        <w:ind w:left="284" w:hanging="284"/>
        <w:rPr>
          <w:sz w:val="24"/>
          <w:szCs w:val="24"/>
        </w:rPr>
      </w:pPr>
      <w:r w:rsidRPr="00D97BA0">
        <w:rPr>
          <w:sz w:val="24"/>
          <w:szCs w:val="24"/>
        </w:rPr>
        <w:t>Applies</w:t>
      </w:r>
      <w:r w:rsidR="001C0593" w:rsidRPr="00D97BA0">
        <w:rPr>
          <w:sz w:val="24"/>
          <w:szCs w:val="24"/>
        </w:rPr>
        <w:t xml:space="preserve"> the Environmental Audit Overlay </w:t>
      </w:r>
      <w:r w:rsidRPr="00D97BA0">
        <w:rPr>
          <w:sz w:val="24"/>
          <w:szCs w:val="24"/>
        </w:rPr>
        <w:t xml:space="preserve">(EAO) </w:t>
      </w:r>
      <w:r w:rsidR="001C0593" w:rsidRPr="00D97BA0">
        <w:rPr>
          <w:sz w:val="24"/>
          <w:szCs w:val="24"/>
        </w:rPr>
        <w:t xml:space="preserve">to the </w:t>
      </w:r>
      <w:r w:rsidR="005849B4" w:rsidRPr="00D97BA0">
        <w:rPr>
          <w:sz w:val="24"/>
          <w:szCs w:val="24"/>
        </w:rPr>
        <w:t>supermarket</w:t>
      </w:r>
      <w:r w:rsidR="001C0593" w:rsidRPr="00D97BA0">
        <w:rPr>
          <w:sz w:val="24"/>
          <w:szCs w:val="24"/>
        </w:rPr>
        <w:t xml:space="preserve"> site at 509-511 Barkly Street, West Footscray, </w:t>
      </w:r>
      <w:r w:rsidRPr="00D97BA0">
        <w:rPr>
          <w:sz w:val="24"/>
          <w:szCs w:val="24"/>
        </w:rPr>
        <w:t xml:space="preserve">land at 438-440 Barkly Street, Footscray, </w:t>
      </w:r>
      <w:r w:rsidR="001C0593" w:rsidRPr="00D97BA0">
        <w:rPr>
          <w:sz w:val="24"/>
          <w:szCs w:val="24"/>
        </w:rPr>
        <w:t>and land at 8 Cross Street, Footscray</w:t>
      </w:r>
      <w:r w:rsidR="001E1124" w:rsidRPr="00D97BA0">
        <w:rPr>
          <w:sz w:val="24"/>
          <w:szCs w:val="24"/>
        </w:rPr>
        <w:t xml:space="preserve">, to </w:t>
      </w:r>
      <w:r w:rsidR="001C0593" w:rsidRPr="00D97BA0">
        <w:rPr>
          <w:sz w:val="24"/>
          <w:szCs w:val="24"/>
        </w:rPr>
        <w:t xml:space="preserve">ensure </w:t>
      </w:r>
      <w:r w:rsidRPr="00D97BA0">
        <w:rPr>
          <w:sz w:val="24"/>
          <w:szCs w:val="24"/>
        </w:rPr>
        <w:t xml:space="preserve">sites of existing and </w:t>
      </w:r>
      <w:r w:rsidR="001C0593" w:rsidRPr="00D97BA0">
        <w:rPr>
          <w:sz w:val="24"/>
          <w:szCs w:val="24"/>
        </w:rPr>
        <w:t xml:space="preserve">potential </w:t>
      </w:r>
      <w:r w:rsidRPr="00D97BA0">
        <w:rPr>
          <w:sz w:val="24"/>
          <w:szCs w:val="24"/>
        </w:rPr>
        <w:t xml:space="preserve">contamination are </w:t>
      </w:r>
      <w:r w:rsidR="001C0593" w:rsidRPr="00D97BA0">
        <w:rPr>
          <w:sz w:val="24"/>
          <w:szCs w:val="24"/>
        </w:rPr>
        <w:t xml:space="preserve">suitably remediated prior to sensitive uses being allowed.  </w:t>
      </w:r>
    </w:p>
    <w:p w14:paraId="24412E6F" w14:textId="000BCC60" w:rsidR="00F0706D" w:rsidRPr="00D97BA0" w:rsidRDefault="00F0706D" w:rsidP="001C0593">
      <w:pPr>
        <w:pStyle w:val="Bullet1"/>
        <w:ind w:left="284" w:hanging="284"/>
        <w:rPr>
          <w:sz w:val="24"/>
          <w:szCs w:val="24"/>
        </w:rPr>
      </w:pPr>
      <w:r w:rsidRPr="00D97BA0">
        <w:rPr>
          <w:sz w:val="24"/>
          <w:szCs w:val="24"/>
        </w:rPr>
        <w:t xml:space="preserve">Amends the Schedule to Clause 66.06 (Notification of Permit Applications under Local Provisions) to include a notice requirement to the owner and licensee of Licensed Pipeline No. 18 </w:t>
      </w:r>
      <w:r w:rsidR="006A6004" w:rsidRPr="00D97BA0">
        <w:rPr>
          <w:sz w:val="24"/>
          <w:szCs w:val="24"/>
        </w:rPr>
        <w:t>of development</w:t>
      </w:r>
      <w:r w:rsidRPr="00D97BA0">
        <w:rPr>
          <w:sz w:val="24"/>
          <w:szCs w:val="24"/>
        </w:rPr>
        <w:t xml:space="preserve"> applications in Precinct 1 and 2 within 27 metres of the </w:t>
      </w:r>
      <w:r w:rsidR="005B4B6D" w:rsidRPr="00D97BA0">
        <w:rPr>
          <w:sz w:val="24"/>
          <w:szCs w:val="24"/>
        </w:rPr>
        <w:t xml:space="preserve">gas </w:t>
      </w:r>
      <w:r w:rsidRPr="00D97BA0">
        <w:rPr>
          <w:sz w:val="24"/>
          <w:szCs w:val="24"/>
        </w:rPr>
        <w:t>pipeline.</w:t>
      </w:r>
    </w:p>
    <w:p w14:paraId="14E1AC4E" w14:textId="2CCBBFB3" w:rsidR="001C0593" w:rsidRPr="00D97BA0" w:rsidRDefault="001C0593" w:rsidP="001C0593">
      <w:pPr>
        <w:pStyle w:val="Bullet1"/>
        <w:numPr>
          <w:ilvl w:val="0"/>
          <w:numId w:val="0"/>
        </w:numPr>
        <w:rPr>
          <w:sz w:val="24"/>
          <w:szCs w:val="24"/>
        </w:rPr>
      </w:pPr>
      <w:r w:rsidRPr="00D97BA0">
        <w:rPr>
          <w:sz w:val="24"/>
          <w:szCs w:val="24"/>
        </w:rPr>
        <w:t>The Amendment also corrects a mapping anom</w:t>
      </w:r>
      <w:r w:rsidR="00DD1980" w:rsidRPr="00D97BA0">
        <w:rPr>
          <w:sz w:val="24"/>
          <w:szCs w:val="24"/>
        </w:rPr>
        <w:t>aly by rezoning 45 Hewitt Avenue</w:t>
      </w:r>
      <w:r w:rsidRPr="00D97BA0">
        <w:rPr>
          <w:sz w:val="24"/>
          <w:szCs w:val="24"/>
        </w:rPr>
        <w:t xml:space="preserve">, Footscray, to </w:t>
      </w:r>
      <w:r w:rsidR="00E43A66" w:rsidRPr="00D97BA0">
        <w:rPr>
          <w:sz w:val="24"/>
          <w:szCs w:val="24"/>
        </w:rPr>
        <w:t>Mixed Use Zone in its entirety to ensure it is not unnecessarily aff</w:t>
      </w:r>
      <w:r w:rsidR="000E30C1" w:rsidRPr="00D97BA0">
        <w:rPr>
          <w:sz w:val="24"/>
          <w:szCs w:val="24"/>
        </w:rPr>
        <w:t>ected by two residential zones.</w:t>
      </w:r>
      <w:r w:rsidR="00BE3365" w:rsidRPr="00D97BA0">
        <w:rPr>
          <w:sz w:val="24"/>
          <w:szCs w:val="24"/>
        </w:rPr>
        <w:t xml:space="preserve"> </w:t>
      </w:r>
    </w:p>
    <w:p w14:paraId="6518BC67" w14:textId="78C833AB"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Strategic assessment of the </w:t>
      </w:r>
      <w:r w:rsidR="00926E03" w:rsidRPr="00D97BA0">
        <w:rPr>
          <w:rFonts w:cs="Arial"/>
          <w:sz w:val="28"/>
          <w:szCs w:val="28"/>
        </w:rPr>
        <w:t>Amendment</w:t>
      </w:r>
      <w:r w:rsidRPr="00D97BA0">
        <w:rPr>
          <w:rFonts w:cs="Arial"/>
          <w:sz w:val="28"/>
          <w:szCs w:val="28"/>
        </w:rPr>
        <w:t xml:space="preserve"> </w:t>
      </w:r>
    </w:p>
    <w:p w14:paraId="59E6488F" w14:textId="4DE49308" w:rsidR="005C1334" w:rsidRPr="00D97BA0" w:rsidRDefault="00E401A9" w:rsidP="005A6B3D">
      <w:pPr>
        <w:pStyle w:val="Heading2"/>
        <w:spacing w:before="240" w:after="240"/>
        <w:jc w:val="left"/>
        <w:rPr>
          <w:rFonts w:cs="Arial"/>
          <w:sz w:val="28"/>
          <w:szCs w:val="28"/>
        </w:rPr>
      </w:pPr>
      <w:r w:rsidRPr="00D97BA0">
        <w:rPr>
          <w:rFonts w:cs="Arial"/>
          <w:sz w:val="28"/>
          <w:szCs w:val="28"/>
        </w:rPr>
        <w:t xml:space="preserve">Why is the </w:t>
      </w:r>
      <w:r w:rsidR="00926E03" w:rsidRPr="00D97BA0">
        <w:rPr>
          <w:rFonts w:cs="Arial"/>
          <w:sz w:val="28"/>
          <w:szCs w:val="28"/>
        </w:rPr>
        <w:t>Amendment</w:t>
      </w:r>
      <w:r w:rsidRPr="00D97BA0">
        <w:rPr>
          <w:rFonts w:cs="Arial"/>
          <w:sz w:val="28"/>
          <w:szCs w:val="28"/>
        </w:rPr>
        <w:t xml:space="preserve"> required?</w:t>
      </w:r>
    </w:p>
    <w:p w14:paraId="4C925976" w14:textId="010D574B" w:rsidR="003E47D4" w:rsidRPr="00D97BA0" w:rsidRDefault="003E47D4" w:rsidP="003E47D4">
      <w:pPr>
        <w:jc w:val="left"/>
        <w:rPr>
          <w:rFonts w:ascii="Arial" w:hAnsi="Arial" w:cs="Arial"/>
          <w:szCs w:val="24"/>
        </w:rPr>
      </w:pPr>
      <w:r w:rsidRPr="00D97BA0">
        <w:rPr>
          <w:rFonts w:ascii="Arial" w:hAnsi="Arial" w:cs="Arial"/>
          <w:szCs w:val="24"/>
        </w:rPr>
        <w:t xml:space="preserve">The Amendment is required to implement the </w:t>
      </w:r>
      <w:r w:rsidR="000B6067" w:rsidRPr="00D97BA0">
        <w:rPr>
          <w:rFonts w:ascii="Arial" w:hAnsi="Arial" w:cs="Arial"/>
          <w:szCs w:val="24"/>
        </w:rPr>
        <w:t xml:space="preserve">land use and built form directions of the </w:t>
      </w:r>
      <w:r w:rsidR="000E4E73" w:rsidRPr="00D97BA0">
        <w:rPr>
          <w:rFonts w:ascii="Arial" w:hAnsi="Arial" w:cs="Arial"/>
          <w:szCs w:val="24"/>
        </w:rPr>
        <w:t>WFNP</w:t>
      </w:r>
      <w:r w:rsidR="00AA4E96" w:rsidRPr="00D97BA0">
        <w:rPr>
          <w:rFonts w:ascii="Arial" w:hAnsi="Arial" w:cs="Arial"/>
          <w:szCs w:val="24"/>
        </w:rPr>
        <w:t xml:space="preserve">, which </w:t>
      </w:r>
      <w:r w:rsidRPr="00D97BA0">
        <w:rPr>
          <w:rFonts w:ascii="Arial" w:hAnsi="Arial" w:cs="Arial"/>
          <w:szCs w:val="24"/>
        </w:rPr>
        <w:t xml:space="preserve">was prepared by Council </w:t>
      </w:r>
      <w:r w:rsidR="000B6067" w:rsidRPr="00D97BA0">
        <w:rPr>
          <w:rFonts w:ascii="Arial" w:hAnsi="Arial" w:cs="Arial"/>
          <w:szCs w:val="24"/>
        </w:rPr>
        <w:t>in 2018</w:t>
      </w:r>
      <w:r w:rsidRPr="00D97BA0">
        <w:rPr>
          <w:rFonts w:ascii="Arial" w:hAnsi="Arial" w:cs="Arial"/>
          <w:szCs w:val="24"/>
        </w:rPr>
        <w:t xml:space="preserve"> to guide growth and de</w:t>
      </w:r>
      <w:r w:rsidR="000B6067" w:rsidRPr="00D97BA0">
        <w:rPr>
          <w:rFonts w:ascii="Arial" w:hAnsi="Arial" w:cs="Arial"/>
          <w:szCs w:val="24"/>
        </w:rPr>
        <w:t>velopment of the area. It is premised on the vision of a 20-minute neighbourhood, where peop</w:t>
      </w:r>
      <w:r w:rsidR="00557FF1" w:rsidRPr="00D97BA0">
        <w:rPr>
          <w:rFonts w:ascii="Arial" w:hAnsi="Arial" w:cs="Arial"/>
          <w:szCs w:val="24"/>
        </w:rPr>
        <w:t>le can gather, socialise, shop, work, live and make use of community and leisure services without having to travel far.</w:t>
      </w:r>
    </w:p>
    <w:p w14:paraId="257ED9E3" w14:textId="76538C45" w:rsidR="003E47D4" w:rsidRPr="00D97BA0" w:rsidRDefault="00557FF1" w:rsidP="00557FF1">
      <w:pPr>
        <w:spacing w:after="120"/>
        <w:jc w:val="left"/>
        <w:rPr>
          <w:rFonts w:ascii="Arial" w:hAnsi="Arial" w:cs="Arial"/>
          <w:szCs w:val="24"/>
        </w:rPr>
      </w:pPr>
      <w:r w:rsidRPr="00D97BA0">
        <w:rPr>
          <w:rFonts w:ascii="Arial" w:hAnsi="Arial" w:cs="Arial"/>
          <w:szCs w:val="24"/>
        </w:rPr>
        <w:lastRenderedPageBreak/>
        <w:t>The Amendment implements the WFNP by:</w:t>
      </w:r>
    </w:p>
    <w:p w14:paraId="7E393391" w14:textId="24FC6024" w:rsidR="00557FF1" w:rsidRPr="00D97BA0" w:rsidRDefault="00557FF1" w:rsidP="00557FF1">
      <w:pPr>
        <w:pStyle w:val="Bullet1"/>
        <w:rPr>
          <w:sz w:val="24"/>
          <w:szCs w:val="24"/>
        </w:rPr>
      </w:pPr>
      <w:r w:rsidRPr="00D97BA0">
        <w:rPr>
          <w:sz w:val="24"/>
          <w:szCs w:val="24"/>
        </w:rPr>
        <w:t>Reconciling the segmented zoning pattern in the West Footscray NAC to expand and focus retail and commercial opportunities and strengthen street level activity.</w:t>
      </w:r>
    </w:p>
    <w:p w14:paraId="010112B5" w14:textId="4426C8A9" w:rsidR="00557FF1" w:rsidRPr="00D97BA0" w:rsidRDefault="00557FF1" w:rsidP="00557FF1">
      <w:pPr>
        <w:pStyle w:val="Bullet1"/>
        <w:rPr>
          <w:sz w:val="24"/>
          <w:szCs w:val="24"/>
        </w:rPr>
      </w:pPr>
      <w:r w:rsidRPr="00D97BA0">
        <w:rPr>
          <w:sz w:val="24"/>
          <w:szCs w:val="24"/>
        </w:rPr>
        <w:t xml:space="preserve">Updating local policy to reflect </w:t>
      </w:r>
      <w:r w:rsidR="007D1437" w:rsidRPr="00D97BA0">
        <w:rPr>
          <w:sz w:val="24"/>
          <w:szCs w:val="24"/>
        </w:rPr>
        <w:t xml:space="preserve">the </w:t>
      </w:r>
      <w:r w:rsidRPr="00D97BA0">
        <w:rPr>
          <w:sz w:val="24"/>
          <w:szCs w:val="24"/>
        </w:rPr>
        <w:t xml:space="preserve">strategic direction </w:t>
      </w:r>
      <w:r w:rsidR="007D1437" w:rsidRPr="00D97BA0">
        <w:rPr>
          <w:sz w:val="24"/>
          <w:szCs w:val="24"/>
        </w:rPr>
        <w:t xml:space="preserve">of the WFNP </w:t>
      </w:r>
      <w:r w:rsidRPr="00D97BA0">
        <w:rPr>
          <w:sz w:val="24"/>
          <w:szCs w:val="24"/>
        </w:rPr>
        <w:t>and remove reference to the UDF 2008.</w:t>
      </w:r>
    </w:p>
    <w:p w14:paraId="479AAEC3" w14:textId="0349981F" w:rsidR="00557FF1" w:rsidRPr="00D97BA0" w:rsidRDefault="00557FF1" w:rsidP="00557FF1">
      <w:pPr>
        <w:pStyle w:val="Bullet1"/>
        <w:rPr>
          <w:sz w:val="24"/>
          <w:szCs w:val="24"/>
        </w:rPr>
      </w:pPr>
      <w:r w:rsidRPr="00D97BA0">
        <w:rPr>
          <w:sz w:val="24"/>
          <w:szCs w:val="24"/>
        </w:rPr>
        <w:t>Supporting a diverse mixed of housing types and sizes responding to forecast housing needs and directing higher density apartment forms to preferred locations close to public transport and services.</w:t>
      </w:r>
    </w:p>
    <w:p w14:paraId="343D8CE5" w14:textId="79852FE8" w:rsidR="00557FF1" w:rsidRPr="00D97BA0" w:rsidRDefault="00557FF1" w:rsidP="00557FF1">
      <w:pPr>
        <w:pStyle w:val="Bullet1"/>
        <w:rPr>
          <w:sz w:val="24"/>
          <w:szCs w:val="24"/>
        </w:rPr>
      </w:pPr>
      <w:r w:rsidRPr="00D97BA0">
        <w:rPr>
          <w:sz w:val="24"/>
          <w:szCs w:val="24"/>
        </w:rPr>
        <w:t xml:space="preserve">Introducing built form controls to provide clear direction for change in the NAC and adjacent precincts, establish a strong coherent character along Barkly Street, enhance the public realm and protect surrounding amenity. </w:t>
      </w:r>
    </w:p>
    <w:p w14:paraId="1F33DA13" w14:textId="0CC09F17" w:rsidR="00557FF1" w:rsidRPr="00D97BA0" w:rsidRDefault="00064B9D" w:rsidP="00557FF1">
      <w:pPr>
        <w:pStyle w:val="Bullet1"/>
        <w:rPr>
          <w:sz w:val="24"/>
          <w:szCs w:val="24"/>
        </w:rPr>
      </w:pPr>
      <w:r w:rsidRPr="00D97BA0">
        <w:rPr>
          <w:sz w:val="24"/>
          <w:szCs w:val="24"/>
        </w:rPr>
        <w:t>Providing a framework for the potential transition of land on the southern side of Barkly Street between West Footscray NAC and Whitten Oval, currently used as car yards and service industries (Precinct 4).</w:t>
      </w:r>
    </w:p>
    <w:p w14:paraId="05B06E58" w14:textId="3456F9D2" w:rsidR="00667AF4" w:rsidRPr="00D97BA0" w:rsidRDefault="00667AF4" w:rsidP="00557FF1">
      <w:pPr>
        <w:spacing w:after="120"/>
        <w:jc w:val="left"/>
        <w:rPr>
          <w:rFonts w:ascii="Arial" w:hAnsi="Arial" w:cs="Arial"/>
          <w:szCs w:val="24"/>
        </w:rPr>
      </w:pPr>
      <w:r w:rsidRPr="00D97BA0">
        <w:rPr>
          <w:rFonts w:ascii="Arial" w:hAnsi="Arial" w:cs="Arial"/>
          <w:szCs w:val="24"/>
        </w:rPr>
        <w:t>The WFNP and West Footscray Economic Assess</w:t>
      </w:r>
      <w:r w:rsidR="00AE7F06" w:rsidRPr="00D97BA0">
        <w:rPr>
          <w:rFonts w:ascii="Arial" w:hAnsi="Arial" w:cs="Arial"/>
          <w:szCs w:val="24"/>
        </w:rPr>
        <w:t>ment for the Neighbourhood Plan</w:t>
      </w:r>
      <w:r w:rsidR="00EC4EA7" w:rsidRPr="00D97BA0">
        <w:rPr>
          <w:rFonts w:ascii="Arial" w:hAnsi="Arial" w:cs="Arial"/>
          <w:szCs w:val="24"/>
        </w:rPr>
        <w:t>,</w:t>
      </w:r>
      <w:r w:rsidRPr="00D97BA0">
        <w:rPr>
          <w:rFonts w:ascii="Arial" w:hAnsi="Arial" w:cs="Arial"/>
          <w:szCs w:val="24"/>
        </w:rPr>
        <w:t xml:space="preserve"> April 2018</w:t>
      </w:r>
      <w:r w:rsidR="00EC4EA7" w:rsidRPr="00D97BA0">
        <w:rPr>
          <w:rFonts w:ascii="Arial" w:hAnsi="Arial" w:cs="Arial"/>
          <w:szCs w:val="24"/>
        </w:rPr>
        <w:t>,</w:t>
      </w:r>
      <w:r w:rsidRPr="00D97BA0">
        <w:rPr>
          <w:rFonts w:ascii="Arial" w:hAnsi="Arial" w:cs="Arial"/>
          <w:szCs w:val="24"/>
        </w:rPr>
        <w:t xml:space="preserve"> form the strategic basis for the Amendment. </w:t>
      </w:r>
    </w:p>
    <w:p w14:paraId="403DD516" w14:textId="02C75A40"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How does the </w:t>
      </w:r>
      <w:r w:rsidR="00926E03" w:rsidRPr="00D97BA0">
        <w:rPr>
          <w:rFonts w:cs="Arial"/>
          <w:sz w:val="28"/>
          <w:szCs w:val="28"/>
        </w:rPr>
        <w:t>Amendment</w:t>
      </w:r>
      <w:r w:rsidRPr="00D97BA0">
        <w:rPr>
          <w:rFonts w:cs="Arial"/>
          <w:sz w:val="28"/>
          <w:szCs w:val="28"/>
        </w:rPr>
        <w:t xml:space="preserve"> implement the objectives of planning in Victoria?</w:t>
      </w:r>
    </w:p>
    <w:p w14:paraId="33A69C5D" w14:textId="3890D4EF" w:rsidR="002F3825" w:rsidRPr="00D97BA0" w:rsidRDefault="008C265C" w:rsidP="00EF116F">
      <w:pPr>
        <w:spacing w:after="120"/>
        <w:jc w:val="left"/>
        <w:rPr>
          <w:szCs w:val="24"/>
        </w:rPr>
      </w:pPr>
      <w:r w:rsidRPr="00D97BA0">
        <w:rPr>
          <w:rFonts w:ascii="Arial" w:hAnsi="Arial" w:cs="Arial"/>
          <w:szCs w:val="24"/>
        </w:rPr>
        <w:t xml:space="preserve">The </w:t>
      </w:r>
      <w:r w:rsidR="00926E03" w:rsidRPr="00D97BA0">
        <w:rPr>
          <w:rFonts w:ascii="Arial" w:hAnsi="Arial" w:cs="Arial"/>
          <w:szCs w:val="24"/>
        </w:rPr>
        <w:t>Amendment</w:t>
      </w:r>
      <w:r w:rsidR="002F3825" w:rsidRPr="00D97BA0">
        <w:rPr>
          <w:rFonts w:ascii="Arial" w:hAnsi="Arial" w:cs="Arial"/>
          <w:szCs w:val="24"/>
        </w:rPr>
        <w:t xml:space="preserve"> implements the objectives of section 4 of the </w:t>
      </w:r>
      <w:r w:rsidR="002F3825" w:rsidRPr="00D97BA0">
        <w:rPr>
          <w:rFonts w:ascii="Arial" w:hAnsi="Arial" w:cs="Arial"/>
          <w:i/>
          <w:szCs w:val="24"/>
        </w:rPr>
        <w:t>P</w:t>
      </w:r>
      <w:r w:rsidR="009E53DA" w:rsidRPr="00D97BA0">
        <w:rPr>
          <w:rFonts w:ascii="Arial" w:hAnsi="Arial" w:cs="Arial"/>
          <w:i/>
          <w:szCs w:val="24"/>
        </w:rPr>
        <w:t>lanning and Environment</w:t>
      </w:r>
      <w:r w:rsidR="002F3825" w:rsidRPr="00D97BA0">
        <w:rPr>
          <w:rFonts w:ascii="Arial" w:hAnsi="Arial" w:cs="Arial"/>
          <w:i/>
          <w:szCs w:val="24"/>
        </w:rPr>
        <w:t xml:space="preserve"> Act</w:t>
      </w:r>
      <w:r w:rsidR="009E53DA" w:rsidRPr="00D97BA0">
        <w:rPr>
          <w:rFonts w:ascii="Arial" w:hAnsi="Arial" w:cs="Arial"/>
          <w:szCs w:val="24"/>
        </w:rPr>
        <w:t xml:space="preserve"> </w:t>
      </w:r>
      <w:r w:rsidR="009E53DA" w:rsidRPr="00D97BA0">
        <w:rPr>
          <w:rFonts w:ascii="Arial" w:hAnsi="Arial" w:cs="Arial"/>
          <w:i/>
          <w:szCs w:val="24"/>
        </w:rPr>
        <w:t>198</w:t>
      </w:r>
      <w:r w:rsidR="002A2081" w:rsidRPr="00D97BA0">
        <w:rPr>
          <w:rFonts w:ascii="Arial" w:hAnsi="Arial" w:cs="Arial"/>
          <w:i/>
          <w:szCs w:val="24"/>
        </w:rPr>
        <w:t>7</w:t>
      </w:r>
      <w:r w:rsidR="00EF116F" w:rsidRPr="00D97BA0">
        <w:rPr>
          <w:rFonts w:ascii="Arial" w:hAnsi="Arial" w:cs="Arial"/>
          <w:i/>
          <w:szCs w:val="24"/>
        </w:rPr>
        <w:t xml:space="preserve"> </w:t>
      </w:r>
      <w:r w:rsidR="00EF116F" w:rsidRPr="00D97BA0">
        <w:rPr>
          <w:rFonts w:ascii="Arial" w:hAnsi="Arial" w:cs="Arial"/>
          <w:szCs w:val="24"/>
        </w:rPr>
        <w:t>by:</w:t>
      </w:r>
    </w:p>
    <w:p w14:paraId="5E0BEB51" w14:textId="5E672728" w:rsidR="00B6664C" w:rsidRPr="00D97BA0" w:rsidRDefault="00B6664C" w:rsidP="0080690D">
      <w:pPr>
        <w:pStyle w:val="Bullet1"/>
        <w:ind w:left="284" w:hanging="284"/>
        <w:rPr>
          <w:sz w:val="24"/>
          <w:szCs w:val="24"/>
        </w:rPr>
      </w:pPr>
      <w:r w:rsidRPr="00D97BA0">
        <w:rPr>
          <w:sz w:val="24"/>
          <w:szCs w:val="24"/>
        </w:rPr>
        <w:t>Improving the planning framework around the use and development of land in a neighbour</w:t>
      </w:r>
      <w:r w:rsidR="00545A84" w:rsidRPr="00D97BA0">
        <w:rPr>
          <w:sz w:val="24"/>
          <w:szCs w:val="24"/>
        </w:rPr>
        <w:t>hood</w:t>
      </w:r>
      <w:r w:rsidRPr="00D97BA0">
        <w:rPr>
          <w:sz w:val="24"/>
          <w:szCs w:val="24"/>
        </w:rPr>
        <w:t xml:space="preserve"> activity centre and two adjacent precincts</w:t>
      </w:r>
      <w:r w:rsidR="0080690D" w:rsidRPr="00D97BA0">
        <w:rPr>
          <w:sz w:val="24"/>
          <w:szCs w:val="24"/>
        </w:rPr>
        <w:t xml:space="preserve"> </w:t>
      </w:r>
      <w:r w:rsidR="00545A84" w:rsidRPr="00D97BA0">
        <w:rPr>
          <w:sz w:val="24"/>
          <w:szCs w:val="24"/>
        </w:rPr>
        <w:t>by</w:t>
      </w:r>
      <w:r w:rsidR="0080690D" w:rsidRPr="00D97BA0">
        <w:rPr>
          <w:sz w:val="24"/>
          <w:szCs w:val="24"/>
        </w:rPr>
        <w:t xml:space="preserve"> providing improved guidance for </w:t>
      </w:r>
      <w:r w:rsidR="00545A84" w:rsidRPr="00D97BA0">
        <w:rPr>
          <w:sz w:val="24"/>
          <w:szCs w:val="24"/>
        </w:rPr>
        <w:t xml:space="preserve">land uses and </w:t>
      </w:r>
      <w:r w:rsidR="0080690D" w:rsidRPr="00D97BA0">
        <w:rPr>
          <w:sz w:val="24"/>
          <w:szCs w:val="24"/>
        </w:rPr>
        <w:t xml:space="preserve">the design and </w:t>
      </w:r>
      <w:r w:rsidR="007B3AE0" w:rsidRPr="00D97BA0">
        <w:rPr>
          <w:sz w:val="24"/>
          <w:szCs w:val="24"/>
        </w:rPr>
        <w:t xml:space="preserve">form </w:t>
      </w:r>
      <w:r w:rsidR="0080690D" w:rsidRPr="00D97BA0">
        <w:rPr>
          <w:sz w:val="24"/>
          <w:szCs w:val="24"/>
        </w:rPr>
        <w:t xml:space="preserve">of new development. </w:t>
      </w:r>
    </w:p>
    <w:p w14:paraId="0A4F694E" w14:textId="4D57C156" w:rsidR="00B6664C" w:rsidRPr="00D97BA0" w:rsidRDefault="00B6664C" w:rsidP="0080690D">
      <w:pPr>
        <w:pStyle w:val="Bullet1"/>
        <w:ind w:left="284" w:hanging="284"/>
        <w:rPr>
          <w:sz w:val="24"/>
          <w:szCs w:val="24"/>
        </w:rPr>
      </w:pPr>
      <w:r w:rsidRPr="00D97BA0">
        <w:rPr>
          <w:sz w:val="24"/>
          <w:szCs w:val="24"/>
        </w:rPr>
        <w:t>Support</w:t>
      </w:r>
      <w:r w:rsidR="0080690D" w:rsidRPr="00D97BA0">
        <w:rPr>
          <w:sz w:val="24"/>
          <w:szCs w:val="24"/>
        </w:rPr>
        <w:t xml:space="preserve">ing </w:t>
      </w:r>
      <w:r w:rsidRPr="00D97BA0">
        <w:rPr>
          <w:sz w:val="24"/>
          <w:szCs w:val="24"/>
        </w:rPr>
        <w:t xml:space="preserve">the role and function of the </w:t>
      </w:r>
      <w:r w:rsidR="00956CAA" w:rsidRPr="00D97BA0">
        <w:rPr>
          <w:sz w:val="24"/>
          <w:szCs w:val="24"/>
        </w:rPr>
        <w:t xml:space="preserve">West Footscray </w:t>
      </w:r>
      <w:r w:rsidR="005F6B82" w:rsidRPr="00D97BA0">
        <w:rPr>
          <w:sz w:val="24"/>
          <w:szCs w:val="24"/>
        </w:rPr>
        <w:t>NAC</w:t>
      </w:r>
      <w:r w:rsidRPr="00D97BA0">
        <w:rPr>
          <w:sz w:val="24"/>
          <w:szCs w:val="24"/>
        </w:rPr>
        <w:t xml:space="preserve"> </w:t>
      </w:r>
      <w:r w:rsidR="0080690D" w:rsidRPr="00D97BA0">
        <w:rPr>
          <w:sz w:val="24"/>
          <w:szCs w:val="24"/>
        </w:rPr>
        <w:t xml:space="preserve">and the Footscray Metropolitan Activity Centre </w:t>
      </w:r>
      <w:r w:rsidRPr="00D97BA0">
        <w:rPr>
          <w:sz w:val="24"/>
          <w:szCs w:val="24"/>
        </w:rPr>
        <w:t>by hel</w:t>
      </w:r>
      <w:r w:rsidR="0080690D" w:rsidRPr="00D97BA0">
        <w:rPr>
          <w:sz w:val="24"/>
          <w:szCs w:val="24"/>
        </w:rPr>
        <w:t>p</w:t>
      </w:r>
      <w:r w:rsidRPr="00D97BA0">
        <w:rPr>
          <w:sz w:val="24"/>
          <w:szCs w:val="24"/>
        </w:rPr>
        <w:t xml:space="preserve">ing to rejuvenate the </w:t>
      </w:r>
      <w:r w:rsidR="00956CAA" w:rsidRPr="00D97BA0">
        <w:rPr>
          <w:sz w:val="24"/>
          <w:szCs w:val="24"/>
        </w:rPr>
        <w:t xml:space="preserve">West Footscray </w:t>
      </w:r>
      <w:r w:rsidR="005F6B82" w:rsidRPr="00D97BA0">
        <w:rPr>
          <w:sz w:val="24"/>
          <w:szCs w:val="24"/>
        </w:rPr>
        <w:t>NAC</w:t>
      </w:r>
      <w:r w:rsidRPr="00D97BA0">
        <w:rPr>
          <w:sz w:val="24"/>
          <w:szCs w:val="24"/>
        </w:rPr>
        <w:t xml:space="preserve"> with </w:t>
      </w:r>
      <w:r w:rsidR="00805BFB" w:rsidRPr="00D97BA0">
        <w:rPr>
          <w:sz w:val="24"/>
          <w:szCs w:val="24"/>
        </w:rPr>
        <w:t xml:space="preserve">additional commercial/mixed use sites and </w:t>
      </w:r>
      <w:r w:rsidRPr="00D97BA0">
        <w:rPr>
          <w:sz w:val="24"/>
          <w:szCs w:val="24"/>
        </w:rPr>
        <w:t>a</w:t>
      </w:r>
      <w:r w:rsidR="0080690D" w:rsidRPr="00D97BA0">
        <w:rPr>
          <w:sz w:val="24"/>
          <w:szCs w:val="24"/>
        </w:rPr>
        <w:t>n increased</w:t>
      </w:r>
      <w:r w:rsidRPr="00D97BA0">
        <w:rPr>
          <w:sz w:val="24"/>
          <w:szCs w:val="24"/>
        </w:rPr>
        <w:t xml:space="preserve"> residential </w:t>
      </w:r>
      <w:r w:rsidR="0080690D" w:rsidRPr="00D97BA0">
        <w:rPr>
          <w:sz w:val="24"/>
          <w:szCs w:val="24"/>
        </w:rPr>
        <w:t xml:space="preserve">and worker </w:t>
      </w:r>
      <w:r w:rsidRPr="00D97BA0">
        <w:rPr>
          <w:sz w:val="24"/>
          <w:szCs w:val="24"/>
        </w:rPr>
        <w:t>population whil</w:t>
      </w:r>
      <w:r w:rsidR="00545A84" w:rsidRPr="00D97BA0">
        <w:rPr>
          <w:sz w:val="24"/>
          <w:szCs w:val="24"/>
        </w:rPr>
        <w:t>e</w:t>
      </w:r>
      <w:r w:rsidRPr="00D97BA0">
        <w:rPr>
          <w:sz w:val="24"/>
          <w:szCs w:val="24"/>
        </w:rPr>
        <w:t xml:space="preserve"> protecting </w:t>
      </w:r>
      <w:r w:rsidR="005F6B82" w:rsidRPr="00D97BA0">
        <w:rPr>
          <w:sz w:val="24"/>
          <w:szCs w:val="24"/>
        </w:rPr>
        <w:t xml:space="preserve">the amenity of adjacent residential areas. </w:t>
      </w:r>
    </w:p>
    <w:p w14:paraId="238797E0" w14:textId="7DA677D2" w:rsidR="0080690D" w:rsidRPr="00D97BA0" w:rsidRDefault="0080690D" w:rsidP="0080690D">
      <w:pPr>
        <w:pStyle w:val="Bullet1"/>
        <w:ind w:left="284" w:hanging="284"/>
        <w:rPr>
          <w:sz w:val="24"/>
          <w:szCs w:val="24"/>
        </w:rPr>
      </w:pPr>
      <w:r w:rsidRPr="00D97BA0">
        <w:rPr>
          <w:sz w:val="24"/>
          <w:szCs w:val="24"/>
        </w:rPr>
        <w:t xml:space="preserve">Ensuring the risks to human health and the environment </w:t>
      </w:r>
      <w:r w:rsidR="00064B9D" w:rsidRPr="00D97BA0">
        <w:rPr>
          <w:sz w:val="24"/>
          <w:szCs w:val="24"/>
        </w:rPr>
        <w:t xml:space="preserve">in relation to sites of existing or </w:t>
      </w:r>
      <w:r w:rsidRPr="00D97BA0">
        <w:rPr>
          <w:sz w:val="24"/>
          <w:szCs w:val="24"/>
        </w:rPr>
        <w:t>pote</w:t>
      </w:r>
      <w:r w:rsidR="00064B9D" w:rsidRPr="00D97BA0">
        <w:rPr>
          <w:sz w:val="24"/>
          <w:szCs w:val="24"/>
        </w:rPr>
        <w:t xml:space="preserve">ntial contamination </w:t>
      </w:r>
      <w:r w:rsidRPr="00D97BA0">
        <w:rPr>
          <w:sz w:val="24"/>
          <w:szCs w:val="24"/>
        </w:rPr>
        <w:t xml:space="preserve">are managed. </w:t>
      </w:r>
    </w:p>
    <w:p w14:paraId="23DA2B3E" w14:textId="47C39057"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How does the </w:t>
      </w:r>
      <w:r w:rsidR="00926E03" w:rsidRPr="00D97BA0">
        <w:rPr>
          <w:rFonts w:cs="Arial"/>
          <w:sz w:val="28"/>
          <w:szCs w:val="28"/>
        </w:rPr>
        <w:t>Amendment</w:t>
      </w:r>
      <w:r w:rsidRPr="00D97BA0">
        <w:rPr>
          <w:rFonts w:cs="Arial"/>
          <w:sz w:val="28"/>
          <w:szCs w:val="28"/>
        </w:rPr>
        <w:t xml:space="preserve"> address any environmental, social and economic effects?</w:t>
      </w:r>
    </w:p>
    <w:p w14:paraId="03B9AC37" w14:textId="736CE118" w:rsidR="0080690D" w:rsidRPr="00D97BA0" w:rsidRDefault="002F3825" w:rsidP="00993F1A">
      <w:pPr>
        <w:pStyle w:val="Bullet1"/>
        <w:numPr>
          <w:ilvl w:val="0"/>
          <w:numId w:val="0"/>
        </w:numPr>
        <w:rPr>
          <w:sz w:val="24"/>
          <w:szCs w:val="24"/>
        </w:rPr>
      </w:pPr>
      <w:r w:rsidRPr="00D97BA0">
        <w:rPr>
          <w:sz w:val="24"/>
          <w:szCs w:val="24"/>
        </w:rPr>
        <w:t xml:space="preserve">The </w:t>
      </w:r>
      <w:r w:rsidR="00926E03" w:rsidRPr="00D97BA0">
        <w:rPr>
          <w:sz w:val="24"/>
          <w:szCs w:val="24"/>
        </w:rPr>
        <w:t>Amendment</w:t>
      </w:r>
      <w:r w:rsidRPr="00D97BA0">
        <w:rPr>
          <w:sz w:val="24"/>
          <w:szCs w:val="24"/>
        </w:rPr>
        <w:t xml:space="preserve"> will generate positive environmental, social and economic effects resulting in a net community benefit</w:t>
      </w:r>
      <w:r w:rsidR="006A1A04" w:rsidRPr="00D97BA0">
        <w:rPr>
          <w:sz w:val="24"/>
          <w:szCs w:val="24"/>
        </w:rPr>
        <w:t xml:space="preserve">. </w:t>
      </w:r>
    </w:p>
    <w:p w14:paraId="0510606C" w14:textId="0F7BFEE7" w:rsidR="00E12444" w:rsidRPr="00D97BA0" w:rsidRDefault="006A1A04" w:rsidP="00993F1A">
      <w:pPr>
        <w:pStyle w:val="Bullet1"/>
        <w:numPr>
          <w:ilvl w:val="0"/>
          <w:numId w:val="0"/>
        </w:numPr>
        <w:rPr>
          <w:sz w:val="24"/>
          <w:szCs w:val="24"/>
        </w:rPr>
      </w:pPr>
      <w:r w:rsidRPr="00D97BA0">
        <w:rPr>
          <w:sz w:val="24"/>
          <w:szCs w:val="24"/>
        </w:rPr>
        <w:t xml:space="preserve">The </w:t>
      </w:r>
      <w:r w:rsidR="0080690D" w:rsidRPr="00D97BA0">
        <w:rPr>
          <w:sz w:val="24"/>
          <w:szCs w:val="24"/>
        </w:rPr>
        <w:t>rejuvenation of the centre through additional worker and residential population will lead to im</w:t>
      </w:r>
      <w:r w:rsidR="00B726B2" w:rsidRPr="00D97BA0">
        <w:rPr>
          <w:sz w:val="24"/>
          <w:szCs w:val="24"/>
        </w:rPr>
        <w:t>provements in the economic well</w:t>
      </w:r>
      <w:r w:rsidR="0080690D" w:rsidRPr="00D97BA0">
        <w:rPr>
          <w:sz w:val="24"/>
          <w:szCs w:val="24"/>
        </w:rPr>
        <w:t>being of the community</w:t>
      </w:r>
      <w:r w:rsidR="00545A84" w:rsidRPr="00D97BA0">
        <w:rPr>
          <w:sz w:val="24"/>
          <w:szCs w:val="24"/>
        </w:rPr>
        <w:t>,</w:t>
      </w:r>
      <w:r w:rsidR="0080690D" w:rsidRPr="00D97BA0">
        <w:rPr>
          <w:sz w:val="24"/>
          <w:szCs w:val="24"/>
        </w:rPr>
        <w:t xml:space="preserve"> providing </w:t>
      </w:r>
      <w:r w:rsidR="00545A84" w:rsidRPr="00D97BA0">
        <w:rPr>
          <w:sz w:val="24"/>
          <w:szCs w:val="24"/>
        </w:rPr>
        <w:t xml:space="preserve">for </w:t>
      </w:r>
      <w:r w:rsidR="0080690D" w:rsidRPr="00D97BA0">
        <w:rPr>
          <w:sz w:val="24"/>
          <w:szCs w:val="24"/>
        </w:rPr>
        <w:t>an enhanced and more vi</w:t>
      </w:r>
      <w:r w:rsidR="00545A84" w:rsidRPr="00D97BA0">
        <w:rPr>
          <w:sz w:val="24"/>
          <w:szCs w:val="24"/>
        </w:rPr>
        <w:t>brant</w:t>
      </w:r>
      <w:r w:rsidR="0080690D" w:rsidRPr="00D97BA0">
        <w:rPr>
          <w:sz w:val="24"/>
          <w:szCs w:val="24"/>
        </w:rPr>
        <w:t xml:space="preserve"> commercial and retail area. Safety will be increased through </w:t>
      </w:r>
      <w:r w:rsidR="00545A84" w:rsidRPr="00D97BA0">
        <w:rPr>
          <w:sz w:val="24"/>
          <w:szCs w:val="24"/>
        </w:rPr>
        <w:t>increas</w:t>
      </w:r>
      <w:r w:rsidR="0080690D" w:rsidRPr="00D97BA0">
        <w:rPr>
          <w:sz w:val="24"/>
          <w:szCs w:val="24"/>
        </w:rPr>
        <w:t xml:space="preserve">ed population and high quality development that </w:t>
      </w:r>
      <w:r w:rsidR="00545A84" w:rsidRPr="00D97BA0">
        <w:rPr>
          <w:sz w:val="24"/>
          <w:szCs w:val="24"/>
        </w:rPr>
        <w:t xml:space="preserve">better </w:t>
      </w:r>
      <w:r w:rsidR="0080690D" w:rsidRPr="00D97BA0">
        <w:rPr>
          <w:sz w:val="24"/>
          <w:szCs w:val="24"/>
        </w:rPr>
        <w:t>interacts with the streetscape</w:t>
      </w:r>
      <w:r w:rsidR="00545A84" w:rsidRPr="00D97BA0">
        <w:rPr>
          <w:sz w:val="24"/>
          <w:szCs w:val="24"/>
        </w:rPr>
        <w:t xml:space="preserve"> and the public realm</w:t>
      </w:r>
      <w:r w:rsidR="0080690D" w:rsidRPr="00D97BA0">
        <w:rPr>
          <w:sz w:val="24"/>
          <w:szCs w:val="24"/>
        </w:rPr>
        <w:t xml:space="preserve">. </w:t>
      </w:r>
    </w:p>
    <w:p w14:paraId="604FC9AD" w14:textId="0EACB4AD" w:rsidR="00993F1A" w:rsidRPr="00D97BA0" w:rsidRDefault="0080690D" w:rsidP="00993F1A">
      <w:pPr>
        <w:pStyle w:val="Bullet1"/>
        <w:numPr>
          <w:ilvl w:val="0"/>
          <w:numId w:val="0"/>
        </w:numPr>
        <w:rPr>
          <w:sz w:val="24"/>
          <w:szCs w:val="24"/>
        </w:rPr>
      </w:pPr>
      <w:r w:rsidRPr="00D97BA0">
        <w:rPr>
          <w:sz w:val="24"/>
          <w:szCs w:val="24"/>
        </w:rPr>
        <w:lastRenderedPageBreak/>
        <w:t>A more vi</w:t>
      </w:r>
      <w:r w:rsidR="00545A84" w:rsidRPr="00D97BA0">
        <w:rPr>
          <w:sz w:val="24"/>
          <w:szCs w:val="24"/>
        </w:rPr>
        <w:t>brant</w:t>
      </w:r>
      <w:r w:rsidRPr="00D97BA0">
        <w:rPr>
          <w:sz w:val="24"/>
          <w:szCs w:val="24"/>
        </w:rPr>
        <w:t xml:space="preserve"> neighbourhood activity centre will result in people’s local needs being met in the centre reducing their reliance on </w:t>
      </w:r>
      <w:r w:rsidR="00B511DF" w:rsidRPr="00D97BA0">
        <w:rPr>
          <w:sz w:val="24"/>
          <w:szCs w:val="24"/>
        </w:rPr>
        <w:t>car travel and increasing active and public transport use. High quality urban design and architectural outcomes in new development will complement public realm improvements in the precincts and increase the amenity</w:t>
      </w:r>
      <w:r w:rsidR="00545A84" w:rsidRPr="00D97BA0">
        <w:rPr>
          <w:sz w:val="24"/>
          <w:szCs w:val="24"/>
        </w:rPr>
        <w:t>,</w:t>
      </w:r>
      <w:r w:rsidR="00B511DF" w:rsidRPr="00D97BA0">
        <w:rPr>
          <w:sz w:val="24"/>
          <w:szCs w:val="24"/>
        </w:rPr>
        <w:t xml:space="preserve"> safety and</w:t>
      </w:r>
      <w:r w:rsidR="00595181" w:rsidRPr="00D97BA0">
        <w:rPr>
          <w:sz w:val="24"/>
          <w:szCs w:val="24"/>
        </w:rPr>
        <w:t xml:space="preserve"> attractiveness of the centre.</w:t>
      </w:r>
    </w:p>
    <w:p w14:paraId="169A5DEE" w14:textId="4EA809B7" w:rsidR="00064B9D" w:rsidRPr="00D97BA0" w:rsidRDefault="00064B9D" w:rsidP="00064B9D">
      <w:pPr>
        <w:pStyle w:val="Bullet1"/>
        <w:numPr>
          <w:ilvl w:val="0"/>
          <w:numId w:val="0"/>
        </w:numPr>
        <w:rPr>
          <w:sz w:val="24"/>
          <w:szCs w:val="24"/>
        </w:rPr>
      </w:pPr>
      <w:r w:rsidRPr="00D97BA0">
        <w:rPr>
          <w:sz w:val="24"/>
          <w:szCs w:val="24"/>
        </w:rPr>
        <w:t>The Amendment manages potential environmental risk by requiring adverse amenity impact assessments for new development where appropriate and by applying the EAO to sites of existing or potential contamination.</w:t>
      </w:r>
    </w:p>
    <w:p w14:paraId="6FF8E5C2" w14:textId="471C3F2B"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Does the </w:t>
      </w:r>
      <w:r w:rsidR="00926E03" w:rsidRPr="00D97BA0">
        <w:rPr>
          <w:rFonts w:cs="Arial"/>
          <w:sz w:val="28"/>
          <w:szCs w:val="28"/>
        </w:rPr>
        <w:t>Amendment</w:t>
      </w:r>
      <w:r w:rsidRPr="00D97BA0">
        <w:rPr>
          <w:rFonts w:cs="Arial"/>
          <w:sz w:val="28"/>
          <w:szCs w:val="28"/>
        </w:rPr>
        <w:t xml:space="preserve"> address relevant bushfire risk?</w:t>
      </w:r>
    </w:p>
    <w:p w14:paraId="3A93439B" w14:textId="76475DA5" w:rsidR="006A1A04" w:rsidRPr="00D97BA0" w:rsidRDefault="006A1A04" w:rsidP="006A1A04">
      <w:pPr>
        <w:jc w:val="left"/>
        <w:rPr>
          <w:rFonts w:ascii="Arial" w:hAnsi="Arial" w:cs="Arial"/>
          <w:szCs w:val="24"/>
        </w:rPr>
      </w:pPr>
      <w:r w:rsidRPr="00D97BA0">
        <w:rPr>
          <w:rFonts w:ascii="Arial" w:hAnsi="Arial" w:cs="Arial"/>
          <w:szCs w:val="24"/>
        </w:rPr>
        <w:t xml:space="preserve">The </w:t>
      </w:r>
      <w:r w:rsidR="00926E03" w:rsidRPr="00D97BA0">
        <w:rPr>
          <w:rFonts w:ascii="Arial" w:hAnsi="Arial" w:cs="Arial"/>
          <w:szCs w:val="24"/>
        </w:rPr>
        <w:t>Amendment</w:t>
      </w:r>
      <w:r w:rsidRPr="00D97BA0">
        <w:rPr>
          <w:rFonts w:ascii="Arial" w:hAnsi="Arial" w:cs="Arial"/>
          <w:szCs w:val="24"/>
        </w:rPr>
        <w:t xml:space="preserve"> will not increase the risk to life, property, community infrastructure and the natural environment from bushfire. </w:t>
      </w:r>
      <w:r w:rsidR="0055326F" w:rsidRPr="00D97BA0">
        <w:rPr>
          <w:rFonts w:ascii="Arial" w:hAnsi="Arial" w:cs="Arial"/>
          <w:szCs w:val="24"/>
        </w:rPr>
        <w:t xml:space="preserve">The </w:t>
      </w:r>
      <w:r w:rsidR="00064B9D" w:rsidRPr="00D97BA0">
        <w:rPr>
          <w:rFonts w:ascii="Arial" w:hAnsi="Arial" w:cs="Arial"/>
          <w:szCs w:val="24"/>
        </w:rPr>
        <w:t>affected land</w:t>
      </w:r>
      <w:r w:rsidR="0055326F" w:rsidRPr="00D97BA0">
        <w:rPr>
          <w:rFonts w:ascii="Arial" w:hAnsi="Arial" w:cs="Arial"/>
          <w:szCs w:val="24"/>
        </w:rPr>
        <w:t xml:space="preserve"> is not located in or near a designated bushfire prone area.</w:t>
      </w:r>
    </w:p>
    <w:p w14:paraId="3E955C2A" w14:textId="797FB20F"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Does the </w:t>
      </w:r>
      <w:r w:rsidR="00926E03" w:rsidRPr="00D97BA0">
        <w:rPr>
          <w:rFonts w:cs="Arial"/>
          <w:sz w:val="28"/>
          <w:szCs w:val="28"/>
        </w:rPr>
        <w:t>Amendment</w:t>
      </w:r>
      <w:r w:rsidRPr="00D97BA0">
        <w:rPr>
          <w:rFonts w:cs="Arial"/>
          <w:sz w:val="28"/>
          <w:szCs w:val="28"/>
        </w:rPr>
        <w:t xml:space="preserve"> comply with the requirements of any Minister’s Direction applicable to the </w:t>
      </w:r>
      <w:r w:rsidR="00926E03" w:rsidRPr="00D97BA0">
        <w:rPr>
          <w:rFonts w:cs="Arial"/>
          <w:sz w:val="28"/>
          <w:szCs w:val="28"/>
        </w:rPr>
        <w:t>Amendment</w:t>
      </w:r>
      <w:r w:rsidRPr="00D97BA0">
        <w:rPr>
          <w:rFonts w:cs="Arial"/>
          <w:sz w:val="28"/>
          <w:szCs w:val="28"/>
        </w:rPr>
        <w:t>?</w:t>
      </w:r>
    </w:p>
    <w:p w14:paraId="1FF70C1D" w14:textId="63987160" w:rsidR="00064B9D" w:rsidRPr="00D97BA0" w:rsidRDefault="00064B9D" w:rsidP="00064B9D">
      <w:pPr>
        <w:pStyle w:val="Bullet1"/>
        <w:numPr>
          <w:ilvl w:val="0"/>
          <w:numId w:val="0"/>
        </w:numPr>
        <w:rPr>
          <w:i/>
          <w:sz w:val="24"/>
          <w:szCs w:val="24"/>
        </w:rPr>
      </w:pPr>
      <w:r w:rsidRPr="00D97BA0">
        <w:rPr>
          <w:sz w:val="24"/>
          <w:szCs w:val="24"/>
        </w:rPr>
        <w:t xml:space="preserve">The Amendment complies with the requirements of </w:t>
      </w:r>
      <w:r w:rsidRPr="00D97BA0">
        <w:rPr>
          <w:i/>
          <w:sz w:val="24"/>
          <w:szCs w:val="24"/>
        </w:rPr>
        <w:t xml:space="preserve">Ministerial Direction – The Form and Content of Planning Schemes. </w:t>
      </w:r>
    </w:p>
    <w:p w14:paraId="40E873D9" w14:textId="77777777" w:rsidR="00064B9D" w:rsidRPr="00D97BA0" w:rsidRDefault="00064B9D" w:rsidP="00064B9D">
      <w:pPr>
        <w:pStyle w:val="Bullet1"/>
        <w:numPr>
          <w:ilvl w:val="0"/>
          <w:numId w:val="0"/>
        </w:numPr>
        <w:rPr>
          <w:sz w:val="24"/>
          <w:szCs w:val="24"/>
        </w:rPr>
      </w:pPr>
      <w:r w:rsidRPr="00D97BA0">
        <w:rPr>
          <w:sz w:val="24"/>
          <w:szCs w:val="24"/>
        </w:rPr>
        <w:t xml:space="preserve">The Amendment complies with the requirements of </w:t>
      </w:r>
      <w:r w:rsidRPr="00D97BA0">
        <w:rPr>
          <w:i/>
          <w:sz w:val="24"/>
          <w:szCs w:val="24"/>
        </w:rPr>
        <w:t>Ministerial Direction No. 1 Potentially Contaminated Land</w:t>
      </w:r>
      <w:r w:rsidRPr="00D97BA0">
        <w:rPr>
          <w:sz w:val="24"/>
          <w:szCs w:val="24"/>
        </w:rPr>
        <w:t xml:space="preserve"> (MD1) by applying the EAO to sites of existing or potential contamination.</w:t>
      </w:r>
    </w:p>
    <w:p w14:paraId="30B1120B" w14:textId="77777777" w:rsidR="00064B9D" w:rsidRPr="00D97BA0" w:rsidRDefault="00064B9D" w:rsidP="00064B9D">
      <w:pPr>
        <w:pStyle w:val="Bullet1"/>
        <w:numPr>
          <w:ilvl w:val="0"/>
          <w:numId w:val="0"/>
        </w:numPr>
        <w:rPr>
          <w:sz w:val="24"/>
          <w:szCs w:val="24"/>
        </w:rPr>
      </w:pPr>
      <w:r w:rsidRPr="00D97BA0">
        <w:rPr>
          <w:sz w:val="24"/>
          <w:szCs w:val="24"/>
        </w:rPr>
        <w:t xml:space="preserve">The Amendment rezones land at 509-511 Barkly Street, West Footscray, and 8 Cross Street, Footscray, from Commercial 2 Zone thereby facilitating their possible redevelopment for sensitive/residential use in future. These sites are considered potentially contaminated due to historical uses and the nature of groundwater and soil contamination on adjoining land. The application of the EAO to these sites will ensure the appropriate environmental audit process takes place before a sensitive use and development commences. </w:t>
      </w:r>
    </w:p>
    <w:p w14:paraId="140DEB0B" w14:textId="77777777" w:rsidR="00064B9D" w:rsidRPr="00D97BA0" w:rsidRDefault="00064B9D" w:rsidP="00064B9D">
      <w:pPr>
        <w:pStyle w:val="Bullet1"/>
        <w:numPr>
          <w:ilvl w:val="0"/>
          <w:numId w:val="0"/>
        </w:numPr>
        <w:rPr>
          <w:sz w:val="24"/>
          <w:szCs w:val="24"/>
        </w:rPr>
      </w:pPr>
      <w:r w:rsidRPr="00D97BA0">
        <w:rPr>
          <w:sz w:val="24"/>
          <w:szCs w:val="24"/>
        </w:rPr>
        <w:t>The Amendment also applies the EAO to a former petrol station at 438-440 Barkly Street, Footscray. An audit undertaken in 2016 found the site to be suitable for high density residential, commercial and industrial uses subject to conditions. If an alternative sensitive use is proposed (e.g. childcare) a new audit would be required, and therefore an EAO has been applied.</w:t>
      </w:r>
    </w:p>
    <w:p w14:paraId="74FEBD90" w14:textId="57CFF1A6" w:rsidR="00064B9D" w:rsidRPr="00D97BA0" w:rsidRDefault="00064B9D" w:rsidP="00064B9D">
      <w:pPr>
        <w:pStyle w:val="Bullet1"/>
        <w:numPr>
          <w:ilvl w:val="0"/>
          <w:numId w:val="0"/>
        </w:numPr>
        <w:rPr>
          <w:sz w:val="24"/>
          <w:szCs w:val="24"/>
        </w:rPr>
      </w:pPr>
      <w:r w:rsidRPr="00D97BA0">
        <w:rPr>
          <w:sz w:val="24"/>
          <w:szCs w:val="24"/>
        </w:rPr>
        <w:t>In accordance with clause 6(3) of MD1, it is appropriate to defer environmental audit requirements through the EAO in this manner as the rezonings relate to a large strategic exercise and multiple sites in separate ownership.</w:t>
      </w:r>
    </w:p>
    <w:p w14:paraId="25F30C3B" w14:textId="77777777" w:rsidR="00064B9D" w:rsidRPr="00D97BA0" w:rsidRDefault="00064B9D" w:rsidP="00064B9D">
      <w:pPr>
        <w:pStyle w:val="Bullet1"/>
        <w:numPr>
          <w:ilvl w:val="0"/>
          <w:numId w:val="0"/>
        </w:numPr>
        <w:rPr>
          <w:sz w:val="24"/>
          <w:szCs w:val="24"/>
        </w:rPr>
      </w:pPr>
      <w:r w:rsidRPr="00D97BA0">
        <w:rPr>
          <w:sz w:val="24"/>
          <w:szCs w:val="24"/>
        </w:rPr>
        <w:t xml:space="preserve">The Amendment is consistent with and supports </w:t>
      </w:r>
      <w:r w:rsidRPr="00D97BA0">
        <w:rPr>
          <w:i/>
          <w:sz w:val="24"/>
          <w:szCs w:val="24"/>
        </w:rPr>
        <w:t>Ministerial Direction No. 9 Metropolitan Planning Strategy</w:t>
      </w:r>
      <w:r w:rsidRPr="00D97BA0">
        <w:rPr>
          <w:sz w:val="24"/>
          <w:szCs w:val="24"/>
        </w:rPr>
        <w:t xml:space="preserve"> by advancing the following objectives of Plan Melbourne: 2017-2050:</w:t>
      </w:r>
    </w:p>
    <w:p w14:paraId="7828E808" w14:textId="77777777" w:rsidR="00064B9D" w:rsidRPr="00D97BA0" w:rsidRDefault="00064B9D" w:rsidP="00064B9D">
      <w:pPr>
        <w:pStyle w:val="Bullet1"/>
        <w:ind w:left="697" w:hanging="357"/>
        <w:rPr>
          <w:sz w:val="24"/>
          <w:szCs w:val="24"/>
        </w:rPr>
      </w:pPr>
      <w:r w:rsidRPr="00D97BA0">
        <w:rPr>
          <w:sz w:val="24"/>
          <w:szCs w:val="24"/>
        </w:rPr>
        <w:t xml:space="preserve">Direction 1.2 –  Improve access to jobs across Melbourne and closer to where people live </w:t>
      </w:r>
    </w:p>
    <w:p w14:paraId="545A6860" w14:textId="77777777" w:rsidR="00064B9D" w:rsidRPr="00D97BA0" w:rsidRDefault="00064B9D" w:rsidP="00064B9D">
      <w:pPr>
        <w:pStyle w:val="Bullet1"/>
        <w:numPr>
          <w:ilvl w:val="0"/>
          <w:numId w:val="0"/>
        </w:numPr>
        <w:ind w:left="413" w:firstLine="284"/>
        <w:rPr>
          <w:sz w:val="24"/>
          <w:szCs w:val="24"/>
        </w:rPr>
      </w:pPr>
      <w:r w:rsidRPr="00D97BA0">
        <w:rPr>
          <w:sz w:val="24"/>
          <w:szCs w:val="24"/>
        </w:rPr>
        <w:t>Policy 1.2.1 is to “</w:t>
      </w:r>
      <w:r w:rsidRPr="00D97BA0">
        <w:rPr>
          <w:i/>
          <w:sz w:val="24"/>
          <w:szCs w:val="24"/>
        </w:rPr>
        <w:t>Support the development of a network of activity centres linked by transport</w:t>
      </w:r>
      <w:r w:rsidRPr="00D97BA0">
        <w:rPr>
          <w:sz w:val="24"/>
          <w:szCs w:val="24"/>
        </w:rPr>
        <w:t>”</w:t>
      </w:r>
    </w:p>
    <w:p w14:paraId="2B631340" w14:textId="77777777" w:rsidR="00064B9D" w:rsidRPr="00D97BA0" w:rsidRDefault="00064B9D" w:rsidP="00064B9D">
      <w:pPr>
        <w:pStyle w:val="Bullet1"/>
        <w:numPr>
          <w:ilvl w:val="0"/>
          <w:numId w:val="0"/>
        </w:numPr>
        <w:ind w:left="697"/>
        <w:rPr>
          <w:sz w:val="24"/>
          <w:szCs w:val="24"/>
        </w:rPr>
      </w:pPr>
      <w:r w:rsidRPr="00D97BA0">
        <w:rPr>
          <w:sz w:val="24"/>
          <w:szCs w:val="24"/>
        </w:rPr>
        <w:lastRenderedPageBreak/>
        <w:t>The Amendment supports this policy by expanding commercial opportunities in the West Footscray NAC and facilitating greater density of people residing in and close to the NAC.</w:t>
      </w:r>
    </w:p>
    <w:p w14:paraId="12E65911" w14:textId="77777777" w:rsidR="00064B9D" w:rsidRPr="00D97BA0" w:rsidRDefault="00064B9D" w:rsidP="00064B9D">
      <w:pPr>
        <w:pStyle w:val="Bullet1"/>
        <w:ind w:left="697" w:hanging="357"/>
        <w:rPr>
          <w:sz w:val="24"/>
          <w:szCs w:val="24"/>
        </w:rPr>
      </w:pPr>
      <w:r w:rsidRPr="00D97BA0">
        <w:rPr>
          <w:sz w:val="24"/>
          <w:szCs w:val="24"/>
        </w:rPr>
        <w:t>Direction 1.3 – Create development opportunities at urban renewal precincts across Melbourne</w:t>
      </w:r>
    </w:p>
    <w:p w14:paraId="29F39A59" w14:textId="77777777" w:rsidR="00064B9D" w:rsidRPr="00D97BA0" w:rsidRDefault="00064B9D" w:rsidP="00064B9D">
      <w:pPr>
        <w:pStyle w:val="Bullet1"/>
        <w:numPr>
          <w:ilvl w:val="0"/>
          <w:numId w:val="0"/>
        </w:numPr>
        <w:ind w:left="697"/>
        <w:rPr>
          <w:sz w:val="24"/>
          <w:szCs w:val="24"/>
        </w:rPr>
      </w:pPr>
      <w:r w:rsidRPr="00D97BA0">
        <w:rPr>
          <w:sz w:val="24"/>
          <w:szCs w:val="24"/>
        </w:rPr>
        <w:t>Policy 1.3.1 is to “</w:t>
      </w:r>
      <w:r w:rsidRPr="00D97BA0">
        <w:rPr>
          <w:i/>
          <w:sz w:val="24"/>
          <w:szCs w:val="24"/>
        </w:rPr>
        <w:t>Plan for and facilitate the development of urban renewal precincts</w:t>
      </w:r>
      <w:r w:rsidRPr="00D97BA0">
        <w:rPr>
          <w:sz w:val="24"/>
          <w:szCs w:val="24"/>
        </w:rPr>
        <w:t xml:space="preserve">” and Policy 1.3.2 is to </w:t>
      </w:r>
      <w:r w:rsidRPr="00D97BA0">
        <w:rPr>
          <w:i/>
          <w:sz w:val="24"/>
          <w:szCs w:val="24"/>
        </w:rPr>
        <w:t>“Plan for new development and investment opportunities on the existing and planned transport network”</w:t>
      </w:r>
    </w:p>
    <w:p w14:paraId="01751284" w14:textId="77777777" w:rsidR="00064B9D" w:rsidRPr="00D97BA0" w:rsidRDefault="00064B9D" w:rsidP="00064B9D">
      <w:pPr>
        <w:pStyle w:val="Bullet1"/>
        <w:numPr>
          <w:ilvl w:val="0"/>
          <w:numId w:val="0"/>
        </w:numPr>
        <w:ind w:left="697"/>
        <w:rPr>
          <w:sz w:val="24"/>
          <w:szCs w:val="24"/>
        </w:rPr>
      </w:pPr>
      <w:r w:rsidRPr="00D97BA0">
        <w:rPr>
          <w:sz w:val="24"/>
          <w:szCs w:val="24"/>
        </w:rPr>
        <w:t>The Amendment supports this policy by facilitating transition of strategic redevelopment sites on Barkly Street and opposite West Footscray Railway Station, capitalising on improvements to the station.</w:t>
      </w:r>
    </w:p>
    <w:p w14:paraId="0353FEB0" w14:textId="77777777" w:rsidR="00064B9D" w:rsidRPr="00D97BA0" w:rsidRDefault="00064B9D" w:rsidP="00064B9D">
      <w:pPr>
        <w:pStyle w:val="Bullet1"/>
        <w:ind w:left="697" w:hanging="357"/>
        <w:rPr>
          <w:sz w:val="24"/>
          <w:szCs w:val="24"/>
        </w:rPr>
      </w:pPr>
      <w:r w:rsidRPr="00D97BA0">
        <w:rPr>
          <w:sz w:val="24"/>
          <w:szCs w:val="24"/>
        </w:rPr>
        <w:t xml:space="preserve">Direction 2.1 – Manage the supply of new housing in the right locations to meet population growth and create a sustainable city </w:t>
      </w:r>
    </w:p>
    <w:p w14:paraId="485E6A46" w14:textId="77777777" w:rsidR="00064B9D" w:rsidRPr="00D97BA0" w:rsidRDefault="00064B9D" w:rsidP="00064B9D">
      <w:pPr>
        <w:pStyle w:val="Bullet1"/>
        <w:numPr>
          <w:ilvl w:val="0"/>
          <w:numId w:val="0"/>
        </w:numPr>
        <w:ind w:left="697"/>
        <w:rPr>
          <w:sz w:val="24"/>
          <w:szCs w:val="24"/>
        </w:rPr>
      </w:pPr>
      <w:r w:rsidRPr="00D97BA0">
        <w:rPr>
          <w:sz w:val="24"/>
          <w:szCs w:val="24"/>
        </w:rPr>
        <w:t>Policy 2.1.2 is to “</w:t>
      </w:r>
      <w:r w:rsidRPr="00D97BA0">
        <w:rPr>
          <w:i/>
          <w:sz w:val="24"/>
          <w:szCs w:val="24"/>
        </w:rPr>
        <w:t>Facilitate an increased percentage of new housing in established areas to create a city of 20-minute neighbourhoods close to existing services, jobs and public transport</w:t>
      </w:r>
      <w:r w:rsidRPr="00D97BA0">
        <w:rPr>
          <w:sz w:val="24"/>
          <w:szCs w:val="24"/>
        </w:rPr>
        <w:t xml:space="preserve">”. </w:t>
      </w:r>
    </w:p>
    <w:p w14:paraId="691FD794" w14:textId="0DAA0B46" w:rsidR="00064B9D" w:rsidRPr="00D97BA0" w:rsidRDefault="00064B9D" w:rsidP="00064B9D">
      <w:pPr>
        <w:pStyle w:val="Bullet1"/>
        <w:numPr>
          <w:ilvl w:val="0"/>
          <w:numId w:val="0"/>
        </w:numPr>
        <w:ind w:left="697"/>
        <w:rPr>
          <w:sz w:val="24"/>
          <w:szCs w:val="24"/>
        </w:rPr>
      </w:pPr>
      <w:r w:rsidRPr="00D97BA0">
        <w:rPr>
          <w:sz w:val="24"/>
          <w:szCs w:val="24"/>
        </w:rPr>
        <w:t>The Amendment supports this policy by facilitating residential growth in West Footscray NAC and adjoining precincts, which are locations well service</w:t>
      </w:r>
      <w:r w:rsidR="00091F60" w:rsidRPr="00D97BA0">
        <w:rPr>
          <w:sz w:val="24"/>
          <w:szCs w:val="24"/>
        </w:rPr>
        <w:t>d</w:t>
      </w:r>
      <w:r w:rsidRPr="00D97BA0">
        <w:rPr>
          <w:sz w:val="24"/>
          <w:szCs w:val="24"/>
        </w:rPr>
        <w:t xml:space="preserve"> by community facilities, employment and public transport. </w:t>
      </w:r>
    </w:p>
    <w:p w14:paraId="059E39B0" w14:textId="77777777" w:rsidR="00064B9D" w:rsidRPr="00D97BA0" w:rsidRDefault="00064B9D" w:rsidP="00064B9D">
      <w:pPr>
        <w:pStyle w:val="Bullet1"/>
        <w:numPr>
          <w:ilvl w:val="0"/>
          <w:numId w:val="0"/>
        </w:numPr>
        <w:ind w:left="413" w:firstLine="284"/>
        <w:rPr>
          <w:sz w:val="24"/>
          <w:szCs w:val="24"/>
        </w:rPr>
      </w:pPr>
      <w:r w:rsidRPr="00D97BA0">
        <w:rPr>
          <w:sz w:val="24"/>
          <w:szCs w:val="24"/>
        </w:rPr>
        <w:t>Policy 2.1.4 is to “</w:t>
      </w:r>
      <w:r w:rsidRPr="00D97BA0">
        <w:rPr>
          <w:i/>
          <w:sz w:val="24"/>
          <w:szCs w:val="24"/>
        </w:rPr>
        <w:t>Provide certainty about the scale of growth in the suburbs</w:t>
      </w:r>
      <w:r w:rsidRPr="00D97BA0">
        <w:rPr>
          <w:sz w:val="24"/>
          <w:szCs w:val="24"/>
        </w:rPr>
        <w:t>”</w:t>
      </w:r>
    </w:p>
    <w:p w14:paraId="2217BE26" w14:textId="77777777" w:rsidR="00064B9D" w:rsidRPr="00D97BA0" w:rsidRDefault="00064B9D" w:rsidP="00064B9D">
      <w:pPr>
        <w:pStyle w:val="Bullet1"/>
        <w:numPr>
          <w:ilvl w:val="0"/>
          <w:numId w:val="0"/>
        </w:numPr>
        <w:ind w:left="697"/>
        <w:rPr>
          <w:sz w:val="24"/>
          <w:szCs w:val="24"/>
        </w:rPr>
      </w:pPr>
      <w:r w:rsidRPr="00D97BA0">
        <w:rPr>
          <w:sz w:val="24"/>
          <w:szCs w:val="24"/>
        </w:rPr>
        <w:t xml:space="preserve">The Amendment supports this policy by targeting growth to specified locations and managing that growth with planning provisions based on comprehensive analysis and consultation and that set clear guidance about development heights, preferred character and measures to protect residential amenity. </w:t>
      </w:r>
    </w:p>
    <w:p w14:paraId="03E68DE7" w14:textId="77777777" w:rsidR="00064B9D" w:rsidRPr="00D97BA0" w:rsidRDefault="00064B9D" w:rsidP="00064B9D">
      <w:pPr>
        <w:pStyle w:val="Bullet1"/>
        <w:ind w:left="697" w:hanging="357"/>
        <w:rPr>
          <w:sz w:val="24"/>
          <w:szCs w:val="24"/>
        </w:rPr>
      </w:pPr>
      <w:r w:rsidRPr="00D97BA0">
        <w:rPr>
          <w:sz w:val="24"/>
          <w:szCs w:val="24"/>
        </w:rPr>
        <w:t>Direction 2.5 – Provide greater choice and diversity of housing</w:t>
      </w:r>
    </w:p>
    <w:p w14:paraId="3EDE7F14" w14:textId="77777777" w:rsidR="00064B9D" w:rsidRPr="00D97BA0" w:rsidRDefault="00064B9D" w:rsidP="00064B9D">
      <w:pPr>
        <w:pStyle w:val="Bullet1"/>
        <w:numPr>
          <w:ilvl w:val="0"/>
          <w:numId w:val="0"/>
        </w:numPr>
        <w:ind w:left="413" w:firstLine="284"/>
        <w:rPr>
          <w:sz w:val="24"/>
          <w:szCs w:val="24"/>
        </w:rPr>
      </w:pPr>
      <w:r w:rsidRPr="00D97BA0">
        <w:rPr>
          <w:sz w:val="24"/>
          <w:szCs w:val="24"/>
        </w:rPr>
        <w:t xml:space="preserve">Policy 2.5.1 is to </w:t>
      </w:r>
      <w:r w:rsidRPr="00D97BA0">
        <w:rPr>
          <w:i/>
          <w:sz w:val="24"/>
          <w:szCs w:val="24"/>
        </w:rPr>
        <w:t>“Facilitate housing that offers choice and meets changing household needs</w:t>
      </w:r>
      <w:r w:rsidRPr="00D97BA0">
        <w:rPr>
          <w:sz w:val="24"/>
          <w:szCs w:val="24"/>
        </w:rPr>
        <w:t xml:space="preserve">”. </w:t>
      </w:r>
    </w:p>
    <w:p w14:paraId="78BE09E3" w14:textId="77777777" w:rsidR="00064B9D" w:rsidRPr="00D97BA0" w:rsidRDefault="00064B9D" w:rsidP="00064B9D">
      <w:pPr>
        <w:pStyle w:val="Bullet1"/>
        <w:numPr>
          <w:ilvl w:val="0"/>
          <w:numId w:val="0"/>
        </w:numPr>
        <w:ind w:left="697"/>
        <w:rPr>
          <w:sz w:val="24"/>
          <w:szCs w:val="24"/>
        </w:rPr>
      </w:pPr>
      <w:r w:rsidRPr="00D97BA0">
        <w:rPr>
          <w:sz w:val="24"/>
          <w:szCs w:val="24"/>
        </w:rPr>
        <w:t xml:space="preserve">The Amendment supports this policy by seeking to facilitate integrated apartment development in West Footscray to increase diversity of housing types in the area and respond to forecast population needs.  </w:t>
      </w:r>
    </w:p>
    <w:p w14:paraId="2D8E51B0" w14:textId="77777777" w:rsidR="00064B9D" w:rsidRPr="00D97BA0" w:rsidRDefault="00064B9D" w:rsidP="00064B9D">
      <w:pPr>
        <w:pStyle w:val="Bullet1"/>
        <w:ind w:left="697" w:hanging="357"/>
        <w:rPr>
          <w:sz w:val="24"/>
          <w:szCs w:val="24"/>
        </w:rPr>
      </w:pPr>
      <w:r w:rsidRPr="00D97BA0">
        <w:rPr>
          <w:sz w:val="24"/>
          <w:szCs w:val="24"/>
        </w:rPr>
        <w:t>Direction 4.3 – Achieve and promote design excellence</w:t>
      </w:r>
    </w:p>
    <w:p w14:paraId="47E0891B" w14:textId="77777777" w:rsidR="00064B9D" w:rsidRPr="00D97BA0" w:rsidRDefault="00064B9D" w:rsidP="00064B9D">
      <w:pPr>
        <w:pStyle w:val="Bullet1"/>
        <w:numPr>
          <w:ilvl w:val="0"/>
          <w:numId w:val="0"/>
        </w:numPr>
        <w:ind w:left="568" w:firstLine="129"/>
        <w:rPr>
          <w:sz w:val="24"/>
          <w:szCs w:val="24"/>
        </w:rPr>
      </w:pPr>
      <w:r w:rsidRPr="00D97BA0">
        <w:rPr>
          <w:sz w:val="24"/>
          <w:szCs w:val="24"/>
        </w:rPr>
        <w:t>Policy 4.3.1 is to “</w:t>
      </w:r>
      <w:r w:rsidRPr="00D97BA0">
        <w:rPr>
          <w:i/>
          <w:sz w:val="24"/>
          <w:szCs w:val="24"/>
        </w:rPr>
        <w:t>Promote urban design excellence in every aspect of the built environment</w:t>
      </w:r>
      <w:r w:rsidRPr="00D97BA0">
        <w:rPr>
          <w:sz w:val="24"/>
          <w:szCs w:val="24"/>
        </w:rPr>
        <w:t>”</w:t>
      </w:r>
    </w:p>
    <w:p w14:paraId="0BF8A52E" w14:textId="77777777" w:rsidR="00064B9D" w:rsidRPr="00D97BA0" w:rsidRDefault="00064B9D" w:rsidP="00064B9D">
      <w:pPr>
        <w:pStyle w:val="Bullet1"/>
        <w:numPr>
          <w:ilvl w:val="0"/>
          <w:numId w:val="0"/>
        </w:numPr>
        <w:ind w:left="697"/>
        <w:rPr>
          <w:sz w:val="24"/>
          <w:szCs w:val="24"/>
        </w:rPr>
      </w:pPr>
      <w:r w:rsidRPr="00D97BA0">
        <w:rPr>
          <w:sz w:val="24"/>
          <w:szCs w:val="24"/>
        </w:rPr>
        <w:t>The Amendment supports this policy by seeking to strengthen the quality of the public realm in West Footscray NAC and create a strong consistent streetscape character on Barkly Street. By implementing design guidelines in the NAC and neighbouring precincts, it also seeks to facilitate well-designed buildings with a high degree of internal and external amenity.</w:t>
      </w:r>
    </w:p>
    <w:p w14:paraId="5CE59D6A" w14:textId="77777777" w:rsidR="00064B9D" w:rsidRPr="00D97BA0" w:rsidRDefault="00064B9D" w:rsidP="00064B9D">
      <w:pPr>
        <w:pStyle w:val="Bullet1"/>
        <w:ind w:left="697" w:hanging="357"/>
        <w:rPr>
          <w:sz w:val="24"/>
          <w:szCs w:val="24"/>
        </w:rPr>
      </w:pPr>
      <w:r w:rsidRPr="00D97BA0">
        <w:rPr>
          <w:sz w:val="24"/>
          <w:szCs w:val="24"/>
        </w:rPr>
        <w:t>Direction 5.1 – Create a city of 20-minute neighbourhoods</w:t>
      </w:r>
    </w:p>
    <w:p w14:paraId="6FD4E530" w14:textId="77777777" w:rsidR="00064B9D" w:rsidRPr="00D97BA0" w:rsidRDefault="00064B9D" w:rsidP="00064B9D">
      <w:pPr>
        <w:pStyle w:val="Bullet1"/>
        <w:numPr>
          <w:ilvl w:val="0"/>
          <w:numId w:val="0"/>
        </w:numPr>
        <w:ind w:left="697"/>
        <w:rPr>
          <w:sz w:val="24"/>
          <w:szCs w:val="24"/>
        </w:rPr>
      </w:pPr>
      <w:r w:rsidRPr="00D97BA0">
        <w:rPr>
          <w:sz w:val="24"/>
          <w:szCs w:val="24"/>
        </w:rPr>
        <w:lastRenderedPageBreak/>
        <w:t>Policy 5.1.1 is to “</w:t>
      </w:r>
      <w:r w:rsidRPr="00D97BA0">
        <w:rPr>
          <w:i/>
          <w:sz w:val="24"/>
          <w:szCs w:val="24"/>
        </w:rPr>
        <w:t>Create mixed-use neighbourhoods at varying densit</w:t>
      </w:r>
      <w:r w:rsidRPr="00D97BA0">
        <w:rPr>
          <w:sz w:val="24"/>
          <w:szCs w:val="24"/>
        </w:rPr>
        <w:t>y” and Policy 5.1.2 is to “</w:t>
      </w:r>
      <w:r w:rsidRPr="00D97BA0">
        <w:rPr>
          <w:i/>
          <w:sz w:val="24"/>
          <w:szCs w:val="24"/>
        </w:rPr>
        <w:t>Support a network of vibrant neighbourhood activity centres</w:t>
      </w:r>
      <w:r w:rsidRPr="00D97BA0">
        <w:rPr>
          <w:sz w:val="24"/>
          <w:szCs w:val="24"/>
        </w:rPr>
        <w:t>”</w:t>
      </w:r>
    </w:p>
    <w:p w14:paraId="5569620A" w14:textId="151F3141" w:rsidR="00064B9D" w:rsidRPr="00D97BA0" w:rsidRDefault="00064B9D" w:rsidP="00064B9D">
      <w:pPr>
        <w:pStyle w:val="Bullet1"/>
        <w:numPr>
          <w:ilvl w:val="0"/>
          <w:numId w:val="0"/>
        </w:numPr>
        <w:ind w:left="697"/>
        <w:rPr>
          <w:sz w:val="24"/>
          <w:szCs w:val="24"/>
        </w:rPr>
      </w:pPr>
      <w:r w:rsidRPr="00D97BA0">
        <w:rPr>
          <w:sz w:val="24"/>
          <w:szCs w:val="24"/>
        </w:rPr>
        <w:t>The policies are central to the Amendment, which seeks to implement the WFNP and its vision for West Footscray “as a place where people can gather, socialise, shop, work, live and make use of community and leisure services without having</w:t>
      </w:r>
      <w:r w:rsidR="00E3120A" w:rsidRPr="00D97BA0">
        <w:rPr>
          <w:sz w:val="24"/>
          <w:szCs w:val="24"/>
        </w:rPr>
        <w:t xml:space="preserve"> to</w:t>
      </w:r>
      <w:r w:rsidRPr="00D97BA0">
        <w:rPr>
          <w:sz w:val="24"/>
          <w:szCs w:val="24"/>
        </w:rPr>
        <w:t xml:space="preserve"> travel far”.</w:t>
      </w:r>
    </w:p>
    <w:p w14:paraId="46E3005C" w14:textId="77777777" w:rsidR="00064B9D" w:rsidRPr="00D97BA0" w:rsidRDefault="00064B9D" w:rsidP="00064B9D">
      <w:pPr>
        <w:pStyle w:val="Bullet1"/>
        <w:ind w:left="697" w:hanging="357"/>
        <w:rPr>
          <w:sz w:val="24"/>
          <w:szCs w:val="24"/>
        </w:rPr>
      </w:pPr>
      <w:r w:rsidRPr="00D97BA0">
        <w:rPr>
          <w:sz w:val="24"/>
          <w:szCs w:val="24"/>
        </w:rPr>
        <w:t>Direction 6.1 – Transition to a low-carbon city to enable Victoria to achieve its target of net zero greenhouse gas emissions by 2050</w:t>
      </w:r>
    </w:p>
    <w:p w14:paraId="0D91A463" w14:textId="77777777" w:rsidR="00064B9D" w:rsidRPr="00D97BA0" w:rsidRDefault="00064B9D" w:rsidP="00064B9D">
      <w:pPr>
        <w:pStyle w:val="Bullet1"/>
        <w:numPr>
          <w:ilvl w:val="0"/>
          <w:numId w:val="0"/>
        </w:numPr>
        <w:ind w:left="697"/>
        <w:rPr>
          <w:sz w:val="24"/>
          <w:szCs w:val="24"/>
        </w:rPr>
      </w:pPr>
      <w:r w:rsidRPr="00D97BA0">
        <w:rPr>
          <w:sz w:val="24"/>
          <w:szCs w:val="24"/>
        </w:rPr>
        <w:t>Policy 6.1.1 is to “</w:t>
      </w:r>
      <w:r w:rsidRPr="00D97BA0">
        <w:rPr>
          <w:i/>
          <w:sz w:val="24"/>
          <w:szCs w:val="24"/>
        </w:rPr>
        <w:t>Improve energy, water and waste performance of buildings through environmentally sustainable development and energy efficiency upgrades</w:t>
      </w:r>
      <w:r w:rsidRPr="00D97BA0">
        <w:rPr>
          <w:sz w:val="24"/>
          <w:szCs w:val="24"/>
        </w:rPr>
        <w:t>”</w:t>
      </w:r>
    </w:p>
    <w:p w14:paraId="275C3113" w14:textId="77777777" w:rsidR="00064B9D" w:rsidRPr="00D97BA0" w:rsidRDefault="00064B9D" w:rsidP="00064B9D">
      <w:pPr>
        <w:pStyle w:val="Bullet1"/>
        <w:numPr>
          <w:ilvl w:val="0"/>
          <w:numId w:val="0"/>
        </w:numPr>
        <w:ind w:left="697"/>
        <w:rPr>
          <w:sz w:val="24"/>
          <w:szCs w:val="24"/>
        </w:rPr>
      </w:pPr>
      <w:r w:rsidRPr="00D97BA0">
        <w:rPr>
          <w:sz w:val="24"/>
          <w:szCs w:val="24"/>
        </w:rPr>
        <w:t>The Amendment supports this policy by requiring new development to demonstrate environmental sustainable design as part of the planning permit process. It also addresses the need to reduce greenhouse gas emissions by encouraging the needs of the growing West Footscray community to be met locally, reducing reliance on car travel and increasing active and public transport use.</w:t>
      </w:r>
    </w:p>
    <w:p w14:paraId="16D367D8" w14:textId="63D71779" w:rsidR="00064B9D" w:rsidRPr="00D97BA0" w:rsidRDefault="00064B9D" w:rsidP="00064B9D">
      <w:pPr>
        <w:pStyle w:val="Bullet1"/>
        <w:numPr>
          <w:ilvl w:val="0"/>
          <w:numId w:val="0"/>
        </w:numPr>
        <w:rPr>
          <w:sz w:val="24"/>
          <w:szCs w:val="24"/>
        </w:rPr>
      </w:pPr>
      <w:r w:rsidRPr="00D97BA0">
        <w:rPr>
          <w:sz w:val="24"/>
          <w:szCs w:val="24"/>
        </w:rPr>
        <w:t xml:space="preserve">The requirements of </w:t>
      </w:r>
      <w:r w:rsidRPr="00D97BA0">
        <w:rPr>
          <w:i/>
          <w:sz w:val="24"/>
          <w:szCs w:val="24"/>
        </w:rPr>
        <w:t>Ministerial Direction No. 11 Strategic Assessment of Amendments</w:t>
      </w:r>
      <w:r w:rsidRPr="00D97BA0">
        <w:rPr>
          <w:sz w:val="24"/>
          <w:szCs w:val="24"/>
        </w:rPr>
        <w:t xml:space="preserve"> </w:t>
      </w:r>
      <w:r w:rsidR="003B4E89" w:rsidRPr="00D97BA0">
        <w:rPr>
          <w:iCs/>
          <w:sz w:val="24"/>
          <w:szCs w:val="24"/>
        </w:rPr>
        <w:t xml:space="preserve">have been considered as outlined in this report, </w:t>
      </w:r>
      <w:r w:rsidR="00944ABD" w:rsidRPr="00D97BA0">
        <w:rPr>
          <w:iCs/>
          <w:sz w:val="24"/>
          <w:szCs w:val="24"/>
        </w:rPr>
        <w:t xml:space="preserve">while </w:t>
      </w:r>
      <w:r w:rsidR="006749A4" w:rsidRPr="00D97BA0">
        <w:rPr>
          <w:i/>
          <w:sz w:val="24"/>
          <w:szCs w:val="24"/>
        </w:rPr>
        <w:t xml:space="preserve">Ministerial </w:t>
      </w:r>
      <w:r w:rsidRPr="00D97BA0">
        <w:rPr>
          <w:i/>
          <w:sz w:val="24"/>
          <w:szCs w:val="24"/>
        </w:rPr>
        <w:t xml:space="preserve">Direction No. 15 The Planning Scheme Amendment Process </w:t>
      </w:r>
      <w:r w:rsidRPr="00D97BA0">
        <w:rPr>
          <w:sz w:val="24"/>
          <w:szCs w:val="24"/>
        </w:rPr>
        <w:t>ha</w:t>
      </w:r>
      <w:r w:rsidR="00944ABD" w:rsidRPr="00D97BA0">
        <w:rPr>
          <w:sz w:val="24"/>
          <w:szCs w:val="24"/>
        </w:rPr>
        <w:t>s</w:t>
      </w:r>
      <w:r w:rsidRPr="00D97BA0">
        <w:rPr>
          <w:sz w:val="24"/>
          <w:szCs w:val="24"/>
        </w:rPr>
        <w:t xml:space="preserve"> been followed in processing this Amendment.</w:t>
      </w:r>
    </w:p>
    <w:p w14:paraId="6A425C98" w14:textId="49C47FBB" w:rsidR="00064B9D" w:rsidRPr="00D97BA0" w:rsidRDefault="00064B9D" w:rsidP="00064B9D">
      <w:pPr>
        <w:pStyle w:val="Bullet1"/>
        <w:numPr>
          <w:ilvl w:val="0"/>
          <w:numId w:val="0"/>
        </w:numPr>
        <w:rPr>
          <w:sz w:val="24"/>
          <w:szCs w:val="24"/>
        </w:rPr>
      </w:pPr>
      <w:r w:rsidRPr="00D97BA0">
        <w:rPr>
          <w:sz w:val="24"/>
          <w:szCs w:val="24"/>
        </w:rPr>
        <w:t xml:space="preserve">Council undertook early consultation with the Environment Protection Authority Victoria (EPA) in accordance with </w:t>
      </w:r>
      <w:r w:rsidRPr="00D97BA0">
        <w:rPr>
          <w:i/>
          <w:sz w:val="24"/>
          <w:szCs w:val="24"/>
        </w:rPr>
        <w:t xml:space="preserve">Ministerial Direction 19 Preparation and Content of Amendments That May Significantly Impact the Environment, Amenity and Human Health </w:t>
      </w:r>
      <w:r w:rsidRPr="00D97BA0">
        <w:rPr>
          <w:sz w:val="24"/>
          <w:szCs w:val="24"/>
        </w:rPr>
        <w:t>(MD19), and followed their initial advice in preparing the Amendment. During public exhibition, the EPA lodged a submission which identified new matters. Council modified the Amendment in response by applying the EAO to a former petrol station site at 438-440 Barkly Street, Footscray (after providing appropriate notice to affected parties). Additional information was also included in this Explanatory Report to address updated requirements in MD1 introduced in August 2021 after the Amendment was exhibited.</w:t>
      </w:r>
    </w:p>
    <w:p w14:paraId="4F815ACA" w14:textId="7102327B"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How does the </w:t>
      </w:r>
      <w:r w:rsidR="00926E03" w:rsidRPr="00D97BA0">
        <w:rPr>
          <w:rFonts w:cs="Arial"/>
          <w:sz w:val="28"/>
          <w:szCs w:val="28"/>
        </w:rPr>
        <w:t>Amendment</w:t>
      </w:r>
      <w:r w:rsidRPr="00D97BA0">
        <w:rPr>
          <w:rFonts w:cs="Arial"/>
          <w:sz w:val="28"/>
          <w:szCs w:val="28"/>
        </w:rPr>
        <w:t xml:space="preserve"> support or implement the </w:t>
      </w:r>
      <w:r w:rsidR="00FD0169" w:rsidRPr="00D97BA0">
        <w:rPr>
          <w:rFonts w:cs="Arial"/>
          <w:sz w:val="28"/>
          <w:szCs w:val="28"/>
        </w:rPr>
        <w:t>Planning Policy Framework</w:t>
      </w:r>
      <w:r w:rsidRPr="00D97BA0">
        <w:rPr>
          <w:rFonts w:cs="Arial"/>
          <w:sz w:val="28"/>
          <w:szCs w:val="28"/>
        </w:rPr>
        <w:t xml:space="preserve"> and any adopted State policy?</w:t>
      </w:r>
    </w:p>
    <w:p w14:paraId="071520CB" w14:textId="77777777" w:rsidR="00EB1172" w:rsidRPr="00D97BA0" w:rsidRDefault="00EB1172" w:rsidP="00EB1172">
      <w:pPr>
        <w:pStyle w:val="Bullet1"/>
        <w:numPr>
          <w:ilvl w:val="0"/>
          <w:numId w:val="0"/>
        </w:numPr>
        <w:rPr>
          <w:sz w:val="24"/>
          <w:szCs w:val="24"/>
        </w:rPr>
      </w:pPr>
      <w:r w:rsidRPr="00D97BA0">
        <w:rPr>
          <w:sz w:val="24"/>
          <w:szCs w:val="24"/>
        </w:rPr>
        <w:t>The Amendment supports and implements the following objectives of the PPF:</w:t>
      </w:r>
    </w:p>
    <w:p w14:paraId="5097C344" w14:textId="77777777" w:rsidR="00EB1172" w:rsidRPr="00D97BA0" w:rsidRDefault="00EB1172" w:rsidP="00EB1172">
      <w:pPr>
        <w:pStyle w:val="Bullet1"/>
        <w:ind w:left="284" w:hanging="284"/>
        <w:rPr>
          <w:sz w:val="24"/>
          <w:szCs w:val="24"/>
        </w:rPr>
      </w:pPr>
      <w:r w:rsidRPr="00D97BA0">
        <w:rPr>
          <w:sz w:val="24"/>
          <w:szCs w:val="24"/>
        </w:rPr>
        <w:t xml:space="preserve">Clause 11 – Settlement by encouraging growth and development of the West Footscray NAC and adjacent precincts. This will provide opportunities for the consolidation, redevelopment and intensification of the existing urban area and better balance neighbourhood character considerations in other areas. Increased supply of land for residential, commercial, retail, recreational, and other community uses will be provided through implementation of the WFNP. </w:t>
      </w:r>
    </w:p>
    <w:p w14:paraId="692AF865" w14:textId="77777777" w:rsidR="00EB1172" w:rsidRPr="00D97BA0" w:rsidRDefault="00EB1172" w:rsidP="006A6004">
      <w:pPr>
        <w:pStyle w:val="Bullet1"/>
        <w:ind w:left="284" w:hanging="284"/>
        <w:rPr>
          <w:sz w:val="24"/>
          <w:szCs w:val="24"/>
        </w:rPr>
      </w:pPr>
      <w:r w:rsidRPr="00D97BA0">
        <w:rPr>
          <w:sz w:val="24"/>
          <w:szCs w:val="24"/>
        </w:rPr>
        <w:t>Clause 13.04S – Contaminated and Potentially Contaminated Land by identifying sites of existing or potential contamination and applying the EAO to manage their remediation before redevelopment.</w:t>
      </w:r>
    </w:p>
    <w:p w14:paraId="30881BBA" w14:textId="795350CD" w:rsidR="00EB1172" w:rsidRPr="00D97BA0" w:rsidRDefault="00EB1172" w:rsidP="00EB1172">
      <w:pPr>
        <w:pStyle w:val="Bullet1"/>
        <w:ind w:left="284" w:hanging="284"/>
        <w:rPr>
          <w:sz w:val="24"/>
          <w:szCs w:val="24"/>
        </w:rPr>
      </w:pPr>
      <w:r w:rsidRPr="00D97BA0">
        <w:rPr>
          <w:sz w:val="24"/>
          <w:szCs w:val="24"/>
        </w:rPr>
        <w:lastRenderedPageBreak/>
        <w:t>Clause 15.01 – Built Environment by implementing improved design and development controls to help create quality urban environments that are safe, healthy, functional and enjoyable with a better sense of place and cultural identity. The Amendment facilitates a 20-minute neighbourhood that gives residents the ability to meet most of their everyday needs within a 20-minute walk, cycle or local public transport trip from their home.</w:t>
      </w:r>
    </w:p>
    <w:p w14:paraId="709C6AA9" w14:textId="77777777" w:rsidR="00EB1172" w:rsidRPr="00D97BA0" w:rsidRDefault="00EB1172" w:rsidP="00EB1172">
      <w:pPr>
        <w:pStyle w:val="Bullet1"/>
        <w:ind w:left="284" w:hanging="284"/>
        <w:rPr>
          <w:sz w:val="24"/>
          <w:szCs w:val="24"/>
        </w:rPr>
      </w:pPr>
      <w:r w:rsidRPr="00D97BA0">
        <w:rPr>
          <w:sz w:val="24"/>
          <w:szCs w:val="24"/>
        </w:rPr>
        <w:t>Clause 15.02 – Sustainable Development by encouraging land use and development that is energy and resource efficient, supports a cooler environment and minimises greenhouse gas emissions through sustainable development.</w:t>
      </w:r>
    </w:p>
    <w:p w14:paraId="3BB4C929" w14:textId="77777777" w:rsidR="00EB1172" w:rsidRPr="00D97BA0" w:rsidRDefault="00EB1172" w:rsidP="00EB1172">
      <w:pPr>
        <w:pStyle w:val="Bullet1"/>
        <w:ind w:left="284" w:hanging="284"/>
        <w:rPr>
          <w:sz w:val="24"/>
          <w:szCs w:val="24"/>
        </w:rPr>
      </w:pPr>
      <w:r w:rsidRPr="00D97BA0">
        <w:rPr>
          <w:sz w:val="24"/>
          <w:szCs w:val="24"/>
        </w:rPr>
        <w:t xml:space="preserve">Clause 16 - Housing by encouraging housing developments in key redevelopment areas that are integrated with infrastructure and services. The Amendment will facilitate housing diversity and affordable housing closer to jobs, transport and services through sustainable and efficient provision of infrastructure with access to services, public transport, schools and open space. </w:t>
      </w:r>
    </w:p>
    <w:p w14:paraId="2195F5CD" w14:textId="77777777" w:rsidR="00EB1172" w:rsidRPr="00D97BA0" w:rsidRDefault="00EB1172" w:rsidP="00EB1172">
      <w:pPr>
        <w:pStyle w:val="Bullet1"/>
        <w:ind w:left="284" w:hanging="284"/>
        <w:rPr>
          <w:sz w:val="24"/>
          <w:szCs w:val="24"/>
        </w:rPr>
      </w:pPr>
      <w:r w:rsidRPr="00D97BA0">
        <w:rPr>
          <w:sz w:val="24"/>
          <w:szCs w:val="24"/>
        </w:rPr>
        <w:t>Clause 17 – Economic Development by strengthening and diversifying the local economy and facilitating growth in a range of employment sectors, improving access to employment closer to where people live and clustering activities to promote innovation. The Amendment will encourage development that meets the community’s needs for retail, entertainment, office, and other commercial services by planning for an adequate supply of commercial land in appropriate locations. It will also ensure that commercial facilities are aggregated and provide net community benefit in relation to their viability, accessibility and efficient use of infrastructure by locating commercial facilities in or adjacent to the West Footscray NAC.</w:t>
      </w:r>
    </w:p>
    <w:p w14:paraId="1EF6359D" w14:textId="30234128" w:rsidR="00CC2AFA" w:rsidRPr="00D97BA0" w:rsidRDefault="00555B54" w:rsidP="00C7372D">
      <w:pPr>
        <w:pStyle w:val="Bullet1"/>
        <w:ind w:left="284" w:hanging="284"/>
        <w:rPr>
          <w:sz w:val="24"/>
          <w:szCs w:val="24"/>
        </w:rPr>
      </w:pPr>
      <w:r w:rsidRPr="00D97BA0">
        <w:rPr>
          <w:sz w:val="24"/>
          <w:szCs w:val="24"/>
        </w:rPr>
        <w:t>Clause 18- Transport</w:t>
      </w:r>
      <w:r w:rsidR="00CC2AFA" w:rsidRPr="00D97BA0">
        <w:rPr>
          <w:sz w:val="24"/>
          <w:szCs w:val="24"/>
        </w:rPr>
        <w:t xml:space="preserve"> by creating a safer and more sustainable transport system</w:t>
      </w:r>
      <w:r w:rsidR="00F7162F" w:rsidRPr="00D97BA0">
        <w:rPr>
          <w:sz w:val="24"/>
          <w:szCs w:val="24"/>
        </w:rPr>
        <w:t xml:space="preserve">, better </w:t>
      </w:r>
      <w:r w:rsidR="00CC2AFA" w:rsidRPr="00D97BA0">
        <w:rPr>
          <w:sz w:val="24"/>
          <w:szCs w:val="24"/>
        </w:rPr>
        <w:t>integrating land-use and transport and coordinating improvements to public transport, walking and cycling net</w:t>
      </w:r>
      <w:r w:rsidR="00C11962" w:rsidRPr="00D97BA0">
        <w:rPr>
          <w:sz w:val="24"/>
          <w:szCs w:val="24"/>
        </w:rPr>
        <w:t>works, as well as l</w:t>
      </w:r>
      <w:r w:rsidR="00CC2AFA" w:rsidRPr="00D97BA0">
        <w:rPr>
          <w:sz w:val="24"/>
          <w:szCs w:val="24"/>
        </w:rPr>
        <w:t xml:space="preserve">and use and development </w:t>
      </w:r>
      <w:r w:rsidR="00C11962" w:rsidRPr="00D97BA0">
        <w:rPr>
          <w:sz w:val="24"/>
          <w:szCs w:val="24"/>
        </w:rPr>
        <w:t>that supports t</w:t>
      </w:r>
      <w:r w:rsidR="00CC2AFA" w:rsidRPr="00D97BA0">
        <w:rPr>
          <w:sz w:val="24"/>
          <w:szCs w:val="24"/>
        </w:rPr>
        <w:t xml:space="preserve">he Principal </w:t>
      </w:r>
      <w:r w:rsidR="00C11962" w:rsidRPr="00D97BA0">
        <w:rPr>
          <w:sz w:val="24"/>
          <w:szCs w:val="24"/>
        </w:rPr>
        <w:t xml:space="preserve">Public Transport Network (PPTN). </w:t>
      </w:r>
      <w:r w:rsidR="00EB1172" w:rsidRPr="00D97BA0">
        <w:rPr>
          <w:sz w:val="24"/>
          <w:szCs w:val="24"/>
        </w:rPr>
        <w:t>The Amendment is consistent with policies to safeguard Melbourne Airport’s operations by requiring new development to be informed by an acoustic report that considers the impact of aircraft noise where appropriate</w:t>
      </w:r>
    </w:p>
    <w:p w14:paraId="7BDF6E03" w14:textId="7045D4E5"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How does the </w:t>
      </w:r>
      <w:r w:rsidR="00926E03" w:rsidRPr="00D97BA0">
        <w:rPr>
          <w:rFonts w:cs="Arial"/>
          <w:sz w:val="28"/>
          <w:szCs w:val="28"/>
        </w:rPr>
        <w:t>Amendment</w:t>
      </w:r>
      <w:r w:rsidRPr="00D97BA0">
        <w:rPr>
          <w:rFonts w:cs="Arial"/>
          <w:sz w:val="28"/>
          <w:szCs w:val="28"/>
        </w:rPr>
        <w:t xml:space="preserve"> support or implement the Local Planning Policy Framework, and specifically the Municipal Strategic Statement?</w:t>
      </w:r>
    </w:p>
    <w:p w14:paraId="02509C33" w14:textId="77777777" w:rsidR="00EB1172" w:rsidRPr="00D97BA0" w:rsidRDefault="00EB1172" w:rsidP="00EB1172">
      <w:pPr>
        <w:pStyle w:val="Bullet1"/>
        <w:numPr>
          <w:ilvl w:val="0"/>
          <w:numId w:val="0"/>
        </w:numPr>
        <w:rPr>
          <w:sz w:val="24"/>
          <w:szCs w:val="24"/>
        </w:rPr>
      </w:pPr>
      <w:r w:rsidRPr="00D97BA0">
        <w:rPr>
          <w:sz w:val="24"/>
          <w:szCs w:val="24"/>
        </w:rPr>
        <w:t>The Amendment supports and addresses the following objectives of the LPPF:</w:t>
      </w:r>
    </w:p>
    <w:p w14:paraId="6984FF35" w14:textId="5A4609EB" w:rsidR="00EB1172" w:rsidRPr="00D97BA0" w:rsidRDefault="00EB1172" w:rsidP="00EB1172">
      <w:pPr>
        <w:pStyle w:val="Bullet1"/>
        <w:rPr>
          <w:b/>
          <w:sz w:val="24"/>
          <w:szCs w:val="24"/>
        </w:rPr>
      </w:pPr>
      <w:r w:rsidRPr="00D97BA0">
        <w:rPr>
          <w:sz w:val="24"/>
          <w:szCs w:val="24"/>
        </w:rPr>
        <w:t xml:space="preserve">Clause 21.04 – Settlement by providing for forecast housing growth to identified locations and strengthening the West Footscray NAC as an accessible, pleasant and safe place where people can gather, socialise, shop, work, live and make use of community and leisure services without having to travel far. It also seeks to improve linkages and connections throughout the West Footscray NAC, adjacent precincts and residential areas to enable better access </w:t>
      </w:r>
      <w:r w:rsidR="002D39B1" w:rsidRPr="00D97BA0">
        <w:rPr>
          <w:sz w:val="24"/>
          <w:szCs w:val="24"/>
        </w:rPr>
        <w:t xml:space="preserve">to </w:t>
      </w:r>
      <w:r w:rsidRPr="00D97BA0">
        <w:rPr>
          <w:sz w:val="24"/>
          <w:szCs w:val="24"/>
        </w:rPr>
        <w:t xml:space="preserve">open space, public transport and daily services. </w:t>
      </w:r>
    </w:p>
    <w:p w14:paraId="2E3F7451" w14:textId="77777777" w:rsidR="00EB1172" w:rsidRPr="00D97BA0" w:rsidRDefault="00EB1172" w:rsidP="00EB1172">
      <w:pPr>
        <w:pStyle w:val="Bullet1"/>
        <w:ind w:left="284" w:hanging="284"/>
        <w:rPr>
          <w:sz w:val="24"/>
          <w:szCs w:val="24"/>
        </w:rPr>
      </w:pPr>
      <w:r w:rsidRPr="00D97BA0">
        <w:rPr>
          <w:sz w:val="24"/>
          <w:szCs w:val="24"/>
        </w:rPr>
        <w:t xml:space="preserve">Clause 21.05 – Environment and Landscape Values by enhancing the landscape character of the West Footscray NAC and adjacent precincts. It also directs urban intensification into designated areas around public transport and services and </w:t>
      </w:r>
      <w:r w:rsidRPr="00D97BA0">
        <w:rPr>
          <w:sz w:val="24"/>
          <w:szCs w:val="24"/>
        </w:rPr>
        <w:lastRenderedPageBreak/>
        <w:t xml:space="preserve">implements improved provisions for new development to meet environmental sustainability requirements. </w:t>
      </w:r>
    </w:p>
    <w:p w14:paraId="535E0CA9" w14:textId="2CEF740F" w:rsidR="00EB1172" w:rsidRPr="00D97BA0" w:rsidRDefault="00EB1172" w:rsidP="00EB1172">
      <w:pPr>
        <w:pStyle w:val="Bullet1"/>
        <w:ind w:left="284" w:hanging="284"/>
        <w:rPr>
          <w:sz w:val="24"/>
          <w:szCs w:val="24"/>
        </w:rPr>
      </w:pPr>
      <w:r w:rsidRPr="00D97BA0">
        <w:rPr>
          <w:sz w:val="24"/>
          <w:szCs w:val="24"/>
        </w:rPr>
        <w:t xml:space="preserve">Clause 21.06 – Built Environment and Heritage by implementing environmentally sustainable design, ensuring that new development will assist in reducing greenhouse gas emissions and minimise impacts on storm water quality and </w:t>
      </w:r>
      <w:r w:rsidR="004341D2" w:rsidRPr="00D97BA0">
        <w:rPr>
          <w:sz w:val="24"/>
          <w:szCs w:val="24"/>
        </w:rPr>
        <w:t xml:space="preserve">better </w:t>
      </w:r>
      <w:r w:rsidRPr="00D97BA0">
        <w:rPr>
          <w:sz w:val="24"/>
          <w:szCs w:val="24"/>
        </w:rPr>
        <w:t>manage water resources. The Amendment makes no change to existing heritage controls in the West Footscray NAC and adjacent precincts.</w:t>
      </w:r>
    </w:p>
    <w:p w14:paraId="5A1882F0" w14:textId="77777777" w:rsidR="00EB1172" w:rsidRPr="00D97BA0" w:rsidRDefault="00EB1172" w:rsidP="00EB1172">
      <w:pPr>
        <w:pStyle w:val="Bullet1"/>
        <w:rPr>
          <w:sz w:val="24"/>
          <w:szCs w:val="24"/>
        </w:rPr>
      </w:pPr>
      <w:r w:rsidRPr="00D97BA0">
        <w:rPr>
          <w:sz w:val="24"/>
          <w:szCs w:val="24"/>
        </w:rPr>
        <w:t xml:space="preserve">Clause 21.07 – Housing by updating the Housing Framework Plan to identify the Barkly Street East and West Footscray Railway Station precincts as substantial change areas to reflect the residential outcomes planned in the WFNP. </w:t>
      </w:r>
    </w:p>
    <w:p w14:paraId="79641F54" w14:textId="108A2A3D" w:rsidR="00EB1172" w:rsidRPr="00D97BA0" w:rsidRDefault="00EB1172" w:rsidP="00EB1172">
      <w:pPr>
        <w:pStyle w:val="Bullet1"/>
        <w:ind w:left="284" w:hanging="284"/>
        <w:rPr>
          <w:sz w:val="24"/>
          <w:szCs w:val="24"/>
        </w:rPr>
      </w:pPr>
      <w:r w:rsidRPr="00D97BA0">
        <w:rPr>
          <w:sz w:val="24"/>
          <w:szCs w:val="24"/>
        </w:rPr>
        <w:t xml:space="preserve">Clause 21.08 – Economic Development by encouraging the growth and development of retail and other commercial uses in the West Footscray NAC. </w:t>
      </w:r>
    </w:p>
    <w:p w14:paraId="1112DA2C" w14:textId="77777777" w:rsidR="00EB1172" w:rsidRPr="00D97BA0" w:rsidRDefault="00EB1172" w:rsidP="00EB1172">
      <w:pPr>
        <w:pStyle w:val="Bullet1"/>
        <w:ind w:left="284" w:hanging="284"/>
        <w:rPr>
          <w:sz w:val="24"/>
          <w:szCs w:val="24"/>
        </w:rPr>
      </w:pPr>
      <w:r w:rsidRPr="00D97BA0">
        <w:rPr>
          <w:sz w:val="24"/>
          <w:szCs w:val="24"/>
        </w:rPr>
        <w:t>Clause 21.09 – Transport by directing residential and commercial growth into areas along the PPTN and complementing the redevelopment of West Footscray Railway Station.</w:t>
      </w:r>
    </w:p>
    <w:p w14:paraId="464FB18F" w14:textId="77777777" w:rsidR="00EB1172" w:rsidRPr="00D97BA0" w:rsidRDefault="00EB1172" w:rsidP="00EB1172">
      <w:pPr>
        <w:pStyle w:val="Bullet1"/>
        <w:ind w:left="284" w:hanging="284"/>
        <w:rPr>
          <w:sz w:val="24"/>
          <w:szCs w:val="24"/>
        </w:rPr>
      </w:pPr>
      <w:r w:rsidRPr="00D97BA0">
        <w:rPr>
          <w:sz w:val="24"/>
          <w:szCs w:val="24"/>
        </w:rPr>
        <w:t>Clause 21.11 – Local Areas by implementing revised objectives and strategies for the West Footscray NAC and Barkly Street East and West Footscray Railway Station precincts, incorporating the recommendations of the WFNP.</w:t>
      </w:r>
    </w:p>
    <w:p w14:paraId="7A5B874C" w14:textId="77777777" w:rsidR="00EB1172" w:rsidRPr="00D97BA0" w:rsidRDefault="00EB1172" w:rsidP="00EB1172">
      <w:pPr>
        <w:pStyle w:val="Bullet1"/>
        <w:ind w:left="284" w:hanging="284"/>
        <w:rPr>
          <w:sz w:val="24"/>
          <w:szCs w:val="24"/>
        </w:rPr>
      </w:pPr>
      <w:r w:rsidRPr="00D97BA0">
        <w:rPr>
          <w:sz w:val="24"/>
          <w:szCs w:val="24"/>
        </w:rPr>
        <w:t xml:space="preserve">Clause 21.12 – Reference Documents by updating the clause to insert the WFNP and remove the West Footscray Urban Design Framework 2008, which is the predecessor to the WFNP. </w:t>
      </w:r>
    </w:p>
    <w:p w14:paraId="4CDD0E74" w14:textId="5BB51131" w:rsidR="00996256" w:rsidRPr="00D97BA0" w:rsidRDefault="00996256" w:rsidP="00C7372D">
      <w:pPr>
        <w:pStyle w:val="Bullet1"/>
        <w:ind w:left="284" w:hanging="284"/>
        <w:rPr>
          <w:sz w:val="24"/>
          <w:szCs w:val="24"/>
        </w:rPr>
      </w:pPr>
      <w:r w:rsidRPr="00D97BA0">
        <w:rPr>
          <w:sz w:val="24"/>
          <w:szCs w:val="24"/>
        </w:rPr>
        <w:t xml:space="preserve">Clause 21.14 – Further Strategic Work by updating the clause to reflect the strategic work </w:t>
      </w:r>
      <w:r w:rsidR="00DB51CA" w:rsidRPr="00D97BA0">
        <w:rPr>
          <w:sz w:val="24"/>
          <w:szCs w:val="24"/>
        </w:rPr>
        <w:t xml:space="preserve">the WFNP has fulfilled </w:t>
      </w:r>
      <w:r w:rsidR="00EB1172" w:rsidRPr="00D97BA0">
        <w:rPr>
          <w:sz w:val="24"/>
          <w:szCs w:val="24"/>
        </w:rPr>
        <w:t>and identifying future work to implement the WFNP objectives (i.e. reviewing the role of Mixed Use Zone land in the West Footscray NAC and the zoning and built form controls of land in Precinct 4).</w:t>
      </w:r>
      <w:r w:rsidR="00DB51CA" w:rsidRPr="00D97BA0">
        <w:rPr>
          <w:sz w:val="24"/>
          <w:szCs w:val="24"/>
        </w:rPr>
        <w:t xml:space="preserve"> </w:t>
      </w:r>
      <w:r w:rsidRPr="00D97BA0">
        <w:rPr>
          <w:sz w:val="24"/>
          <w:szCs w:val="24"/>
        </w:rPr>
        <w:t xml:space="preserve"> </w:t>
      </w:r>
    </w:p>
    <w:p w14:paraId="61BA7068" w14:textId="2276DE5E" w:rsidR="00CC2AFA" w:rsidRPr="00D97BA0" w:rsidRDefault="00CC2AFA" w:rsidP="00C7372D">
      <w:pPr>
        <w:pStyle w:val="Bullet1"/>
        <w:ind w:left="284" w:hanging="284"/>
        <w:rPr>
          <w:sz w:val="24"/>
          <w:szCs w:val="24"/>
        </w:rPr>
      </w:pPr>
      <w:r w:rsidRPr="00D97BA0">
        <w:rPr>
          <w:sz w:val="24"/>
          <w:szCs w:val="24"/>
        </w:rPr>
        <w:t xml:space="preserve">Clause 22.03 – Potentially Contaminated Land Policy by applying the </w:t>
      </w:r>
      <w:r w:rsidR="00EB1172" w:rsidRPr="00D97BA0">
        <w:rPr>
          <w:sz w:val="24"/>
          <w:szCs w:val="24"/>
        </w:rPr>
        <w:t xml:space="preserve">EAO </w:t>
      </w:r>
      <w:r w:rsidRPr="00D97BA0">
        <w:rPr>
          <w:sz w:val="24"/>
          <w:szCs w:val="24"/>
        </w:rPr>
        <w:t>to identified sites</w:t>
      </w:r>
      <w:r w:rsidR="00EB1172" w:rsidRPr="00D97BA0">
        <w:rPr>
          <w:sz w:val="24"/>
          <w:szCs w:val="24"/>
        </w:rPr>
        <w:t xml:space="preserve"> of existing or potential contamination </w:t>
      </w:r>
      <w:r w:rsidRPr="00D97BA0">
        <w:rPr>
          <w:sz w:val="24"/>
          <w:szCs w:val="24"/>
        </w:rPr>
        <w:t xml:space="preserve">and require </w:t>
      </w:r>
      <w:r w:rsidR="00D3349F" w:rsidRPr="00D97BA0">
        <w:rPr>
          <w:sz w:val="24"/>
          <w:szCs w:val="24"/>
        </w:rPr>
        <w:t>remediation</w:t>
      </w:r>
      <w:r w:rsidRPr="00D97BA0">
        <w:rPr>
          <w:sz w:val="24"/>
          <w:szCs w:val="24"/>
        </w:rPr>
        <w:t xml:space="preserve"> before a sensitive use is located on the land.</w:t>
      </w:r>
    </w:p>
    <w:p w14:paraId="48773486" w14:textId="621427C8" w:rsidR="00A17D9E" w:rsidRPr="00D97BA0" w:rsidRDefault="00A01A8C" w:rsidP="00A17D9E">
      <w:pPr>
        <w:pStyle w:val="Heading2"/>
        <w:spacing w:before="240" w:after="240"/>
        <w:jc w:val="left"/>
        <w:rPr>
          <w:rFonts w:cs="Arial"/>
          <w:sz w:val="28"/>
          <w:szCs w:val="28"/>
        </w:rPr>
      </w:pPr>
      <w:r w:rsidRPr="00D97BA0">
        <w:rPr>
          <w:rFonts w:cs="Arial"/>
          <w:sz w:val="28"/>
          <w:szCs w:val="28"/>
        </w:rPr>
        <w:t>H</w:t>
      </w:r>
      <w:r w:rsidR="00A17D9E" w:rsidRPr="00D97BA0">
        <w:rPr>
          <w:rFonts w:cs="Arial"/>
          <w:sz w:val="28"/>
          <w:szCs w:val="28"/>
        </w:rPr>
        <w:t xml:space="preserve">ow does the </w:t>
      </w:r>
      <w:r w:rsidR="00926E03" w:rsidRPr="00D97BA0">
        <w:rPr>
          <w:rFonts w:cs="Arial"/>
          <w:sz w:val="28"/>
          <w:szCs w:val="28"/>
        </w:rPr>
        <w:t>Amendment</w:t>
      </w:r>
      <w:r w:rsidR="00A17D9E" w:rsidRPr="00D97BA0">
        <w:rPr>
          <w:rFonts w:cs="Arial"/>
          <w:sz w:val="28"/>
          <w:szCs w:val="28"/>
        </w:rPr>
        <w:t xml:space="preserve"> support or implement the Municipal Planning Strategy?</w:t>
      </w:r>
    </w:p>
    <w:p w14:paraId="2026E45B" w14:textId="79604A92" w:rsidR="00F96FF7" w:rsidRPr="00D97BA0" w:rsidRDefault="00E12444" w:rsidP="00D97BA0">
      <w:pPr>
        <w:spacing w:before="0" w:after="200"/>
        <w:jc w:val="left"/>
        <w:rPr>
          <w:rFonts w:ascii="Arial" w:hAnsi="Arial" w:cs="Arial"/>
          <w:color w:val="A6A6A6"/>
          <w:szCs w:val="24"/>
        </w:rPr>
      </w:pPr>
      <w:bookmarkStart w:id="0" w:name="_Hlk521056606"/>
      <w:r w:rsidRPr="00D97BA0">
        <w:rPr>
          <w:rFonts w:ascii="Arial" w:hAnsi="Arial" w:cs="Arial"/>
          <w:szCs w:val="24"/>
        </w:rPr>
        <w:t xml:space="preserve">The Maribyrnong Planning Scheme does not contain a Municipal Planning Strategy </w:t>
      </w:r>
      <w:r w:rsidR="00F7162F" w:rsidRPr="00D97BA0">
        <w:rPr>
          <w:rFonts w:ascii="Arial" w:hAnsi="Arial" w:cs="Arial"/>
          <w:szCs w:val="24"/>
        </w:rPr>
        <w:t>so</w:t>
      </w:r>
      <w:r w:rsidRPr="00D97BA0">
        <w:rPr>
          <w:rFonts w:ascii="Arial" w:hAnsi="Arial" w:cs="Arial"/>
          <w:szCs w:val="24"/>
        </w:rPr>
        <w:t xml:space="preserve"> this consideration is not relevant</w:t>
      </w:r>
      <w:r w:rsidR="00805BFB" w:rsidRPr="00D97BA0">
        <w:rPr>
          <w:rFonts w:ascii="Arial" w:hAnsi="Arial" w:cs="Arial"/>
          <w:szCs w:val="24"/>
        </w:rPr>
        <w:t xml:space="preserve"> to the </w:t>
      </w:r>
      <w:r w:rsidR="00926E03" w:rsidRPr="00D97BA0">
        <w:rPr>
          <w:rFonts w:ascii="Arial" w:hAnsi="Arial" w:cs="Arial"/>
          <w:szCs w:val="24"/>
        </w:rPr>
        <w:t>Amendment</w:t>
      </w:r>
      <w:r w:rsidRPr="00D97BA0">
        <w:rPr>
          <w:rFonts w:ascii="Arial" w:hAnsi="Arial" w:cs="Arial"/>
          <w:szCs w:val="24"/>
        </w:rPr>
        <w:t xml:space="preserve">. </w:t>
      </w:r>
      <w:r w:rsidR="0081542E" w:rsidRPr="00D97BA0">
        <w:rPr>
          <w:rFonts w:ascii="Arial" w:hAnsi="Arial" w:cs="Arial"/>
          <w:szCs w:val="24"/>
        </w:rPr>
        <w:t>The amendment is consistent with the Municipal Strategic Statement.</w:t>
      </w:r>
    </w:p>
    <w:bookmarkEnd w:id="0"/>
    <w:p w14:paraId="0F132B36" w14:textId="62E9CA10"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Does the </w:t>
      </w:r>
      <w:r w:rsidR="00926E03" w:rsidRPr="00D97BA0">
        <w:rPr>
          <w:rFonts w:cs="Arial"/>
          <w:sz w:val="28"/>
          <w:szCs w:val="28"/>
        </w:rPr>
        <w:t>Amendment</w:t>
      </w:r>
      <w:r w:rsidRPr="00D97BA0">
        <w:rPr>
          <w:rFonts w:cs="Arial"/>
          <w:sz w:val="28"/>
          <w:szCs w:val="28"/>
        </w:rPr>
        <w:t xml:space="preserve"> make proper use of the Victoria Planning Provisions?</w:t>
      </w:r>
    </w:p>
    <w:p w14:paraId="0F41AF39" w14:textId="4DB8002F" w:rsidR="00942858" w:rsidRPr="00D97BA0" w:rsidRDefault="00E12444" w:rsidP="005A6B3D">
      <w:pPr>
        <w:spacing w:before="0" w:after="200"/>
        <w:rPr>
          <w:rFonts w:ascii="Arial" w:hAnsi="Arial" w:cs="Arial"/>
          <w:b/>
          <w:bCs/>
          <w:szCs w:val="24"/>
          <w:lang w:val="en-GB"/>
        </w:rPr>
      </w:pPr>
      <w:r w:rsidRPr="00D97BA0">
        <w:rPr>
          <w:rFonts w:ascii="Arial" w:hAnsi="Arial" w:cs="Arial"/>
          <w:szCs w:val="24"/>
          <w:lang w:val="en-GB"/>
        </w:rPr>
        <w:t xml:space="preserve">The </w:t>
      </w:r>
      <w:r w:rsidR="00926E03" w:rsidRPr="00D97BA0">
        <w:rPr>
          <w:rFonts w:ascii="Arial" w:hAnsi="Arial" w:cs="Arial"/>
          <w:szCs w:val="24"/>
          <w:lang w:val="en-GB"/>
        </w:rPr>
        <w:t>Amendment</w:t>
      </w:r>
      <w:r w:rsidRPr="00D97BA0">
        <w:rPr>
          <w:rFonts w:ascii="Arial" w:hAnsi="Arial" w:cs="Arial"/>
          <w:szCs w:val="24"/>
          <w:lang w:val="en-GB"/>
        </w:rPr>
        <w:t> makes proper use of the V</w:t>
      </w:r>
      <w:r w:rsidR="00F7162F" w:rsidRPr="00D97BA0">
        <w:rPr>
          <w:rFonts w:ascii="Arial" w:hAnsi="Arial" w:cs="Arial"/>
          <w:szCs w:val="24"/>
          <w:lang w:val="en-GB"/>
        </w:rPr>
        <w:t xml:space="preserve">ictoria </w:t>
      </w:r>
      <w:r w:rsidRPr="00D97BA0">
        <w:rPr>
          <w:rFonts w:ascii="Arial" w:hAnsi="Arial" w:cs="Arial"/>
          <w:szCs w:val="24"/>
          <w:lang w:val="en-GB"/>
        </w:rPr>
        <w:t>P</w:t>
      </w:r>
      <w:r w:rsidR="00F7162F" w:rsidRPr="00D97BA0">
        <w:rPr>
          <w:rFonts w:ascii="Arial" w:hAnsi="Arial" w:cs="Arial"/>
          <w:szCs w:val="24"/>
          <w:lang w:val="en-GB"/>
        </w:rPr>
        <w:t xml:space="preserve">lanning </w:t>
      </w:r>
      <w:r w:rsidRPr="00D97BA0">
        <w:rPr>
          <w:rFonts w:ascii="Arial" w:hAnsi="Arial" w:cs="Arial"/>
          <w:szCs w:val="24"/>
          <w:lang w:val="en-GB"/>
        </w:rPr>
        <w:t>P</w:t>
      </w:r>
      <w:r w:rsidR="00F7162F" w:rsidRPr="00D97BA0">
        <w:rPr>
          <w:rFonts w:ascii="Arial" w:hAnsi="Arial" w:cs="Arial"/>
          <w:szCs w:val="24"/>
          <w:lang w:val="en-GB"/>
        </w:rPr>
        <w:t xml:space="preserve">rovisions (VPP) </w:t>
      </w:r>
      <w:r w:rsidRPr="00D97BA0">
        <w:rPr>
          <w:rFonts w:ascii="Arial" w:hAnsi="Arial" w:cs="Arial"/>
          <w:szCs w:val="24"/>
          <w:lang w:val="en-GB"/>
        </w:rPr>
        <w:t>by utilising the appropriate</w:t>
      </w:r>
      <w:r w:rsidR="00B87810" w:rsidRPr="00D97BA0">
        <w:rPr>
          <w:rFonts w:ascii="Arial" w:hAnsi="Arial" w:cs="Arial"/>
          <w:szCs w:val="24"/>
          <w:lang w:val="en-GB"/>
        </w:rPr>
        <w:t xml:space="preserve"> </w:t>
      </w:r>
      <w:r w:rsidRPr="00D97BA0">
        <w:rPr>
          <w:rFonts w:ascii="Arial" w:hAnsi="Arial" w:cs="Arial"/>
          <w:szCs w:val="24"/>
          <w:lang w:val="en-GB"/>
        </w:rPr>
        <w:t>VPP</w:t>
      </w:r>
      <w:r w:rsidR="00F7162F" w:rsidRPr="00D97BA0">
        <w:rPr>
          <w:rFonts w:ascii="Arial" w:hAnsi="Arial" w:cs="Arial"/>
          <w:szCs w:val="24"/>
          <w:lang w:val="en-GB"/>
        </w:rPr>
        <w:t xml:space="preserve"> tools</w:t>
      </w:r>
      <w:r w:rsidR="00B57123" w:rsidRPr="00D97BA0">
        <w:rPr>
          <w:rFonts w:ascii="Arial" w:hAnsi="Arial" w:cs="Arial"/>
          <w:szCs w:val="24"/>
          <w:lang w:val="en-GB"/>
        </w:rPr>
        <w:t xml:space="preserve"> (</w:t>
      </w:r>
      <w:r w:rsidR="00F7162F" w:rsidRPr="00D97BA0">
        <w:rPr>
          <w:rFonts w:ascii="Arial" w:hAnsi="Arial" w:cs="Arial"/>
          <w:szCs w:val="24"/>
          <w:lang w:val="en-GB"/>
        </w:rPr>
        <w:t xml:space="preserve">such as the </w:t>
      </w:r>
      <w:r w:rsidR="00805BFB" w:rsidRPr="00D97BA0">
        <w:rPr>
          <w:rFonts w:ascii="Arial" w:hAnsi="Arial" w:cs="Arial"/>
          <w:szCs w:val="24"/>
          <w:lang w:val="en-GB"/>
        </w:rPr>
        <w:t xml:space="preserve">Commercial 1 Zone, </w:t>
      </w:r>
      <w:r w:rsidR="00F7162F" w:rsidRPr="00D97BA0">
        <w:rPr>
          <w:rFonts w:ascii="Arial" w:hAnsi="Arial" w:cs="Arial"/>
          <w:szCs w:val="24"/>
          <w:lang w:val="en-GB"/>
        </w:rPr>
        <w:t>General Residential Zone, Mixed Use Zone, Design and Development Overlay and Environment Audit Overlay</w:t>
      </w:r>
      <w:r w:rsidR="00B57123" w:rsidRPr="00D97BA0">
        <w:rPr>
          <w:rFonts w:ascii="Arial" w:hAnsi="Arial" w:cs="Arial"/>
          <w:szCs w:val="24"/>
          <w:lang w:val="en-GB"/>
        </w:rPr>
        <w:t xml:space="preserve">) and correcting a </w:t>
      </w:r>
      <w:r w:rsidR="0057661E" w:rsidRPr="00D97BA0">
        <w:rPr>
          <w:rFonts w:ascii="Arial" w:hAnsi="Arial" w:cs="Arial"/>
          <w:szCs w:val="24"/>
          <w:lang w:val="en-GB"/>
        </w:rPr>
        <w:t>mapping</w:t>
      </w:r>
      <w:r w:rsidR="00B57123" w:rsidRPr="00D97BA0">
        <w:rPr>
          <w:rFonts w:ascii="Arial" w:hAnsi="Arial" w:cs="Arial"/>
          <w:szCs w:val="24"/>
          <w:lang w:val="en-GB"/>
        </w:rPr>
        <w:t xml:space="preserve"> anomaly</w:t>
      </w:r>
      <w:r w:rsidR="0057661E" w:rsidRPr="00D97BA0">
        <w:rPr>
          <w:rFonts w:ascii="Arial" w:hAnsi="Arial" w:cs="Arial"/>
          <w:szCs w:val="24"/>
          <w:lang w:val="en-GB"/>
        </w:rPr>
        <w:t xml:space="preserve"> to land at 45 Hewitt </w:t>
      </w:r>
      <w:r w:rsidR="00E56992" w:rsidRPr="00D97BA0">
        <w:rPr>
          <w:rFonts w:ascii="Arial" w:hAnsi="Arial" w:cs="Arial"/>
          <w:szCs w:val="24"/>
          <w:lang w:val="en-GB"/>
        </w:rPr>
        <w:t>Avenue</w:t>
      </w:r>
      <w:r w:rsidR="0057661E" w:rsidRPr="00D97BA0">
        <w:rPr>
          <w:rFonts w:ascii="Arial" w:hAnsi="Arial" w:cs="Arial"/>
          <w:szCs w:val="24"/>
          <w:lang w:val="en-GB"/>
        </w:rPr>
        <w:t>, Footscray</w:t>
      </w:r>
      <w:r w:rsidR="00942858" w:rsidRPr="00D97BA0">
        <w:rPr>
          <w:rFonts w:ascii="Arial" w:hAnsi="Arial" w:cs="Arial"/>
          <w:szCs w:val="24"/>
          <w:lang w:val="en-GB"/>
        </w:rPr>
        <w:t>.</w:t>
      </w:r>
    </w:p>
    <w:p w14:paraId="1BF8D075" w14:textId="6F4D0FC4" w:rsidR="00E401A9" w:rsidRPr="00D97BA0" w:rsidRDefault="00E401A9" w:rsidP="00D97BA0">
      <w:pPr>
        <w:pStyle w:val="Heading2"/>
        <w:spacing w:before="240" w:after="240"/>
        <w:jc w:val="left"/>
        <w:rPr>
          <w:rFonts w:cs="Arial"/>
          <w:sz w:val="28"/>
          <w:szCs w:val="28"/>
        </w:rPr>
      </w:pPr>
      <w:r w:rsidRPr="00D97BA0">
        <w:rPr>
          <w:rFonts w:cs="Arial"/>
          <w:sz w:val="28"/>
          <w:szCs w:val="28"/>
        </w:rPr>
        <w:lastRenderedPageBreak/>
        <w:t xml:space="preserve">How does the </w:t>
      </w:r>
      <w:r w:rsidR="00926E03" w:rsidRPr="00D97BA0">
        <w:rPr>
          <w:rFonts w:cs="Arial"/>
          <w:sz w:val="28"/>
          <w:szCs w:val="28"/>
        </w:rPr>
        <w:t>Amendment</w:t>
      </w:r>
      <w:r w:rsidRPr="00D97BA0">
        <w:rPr>
          <w:rFonts w:cs="Arial"/>
          <w:sz w:val="28"/>
          <w:szCs w:val="28"/>
        </w:rPr>
        <w:t xml:space="preserve"> address the views of any relevant agency?</w:t>
      </w:r>
    </w:p>
    <w:p w14:paraId="3B770C36" w14:textId="1A424F31" w:rsidR="002318DD" w:rsidRPr="00D97BA0" w:rsidRDefault="002318DD" w:rsidP="00D97BA0">
      <w:pPr>
        <w:spacing w:before="0" w:after="200"/>
        <w:jc w:val="left"/>
        <w:rPr>
          <w:rFonts w:ascii="Arial" w:hAnsi="Arial" w:cs="Arial"/>
          <w:szCs w:val="24"/>
          <w:lang w:val="en-GB"/>
        </w:rPr>
      </w:pPr>
      <w:r w:rsidRPr="00D97BA0">
        <w:rPr>
          <w:rFonts w:ascii="Arial" w:hAnsi="Arial" w:cs="Arial"/>
          <w:szCs w:val="24"/>
          <w:lang w:val="en-GB"/>
        </w:rPr>
        <w:t>Council undertook early consultation with the EPA in accordance with MD19. Their initial advice was follow</w:t>
      </w:r>
      <w:r w:rsidR="009F4B60" w:rsidRPr="00D97BA0">
        <w:rPr>
          <w:rFonts w:ascii="Arial" w:hAnsi="Arial" w:cs="Arial"/>
          <w:szCs w:val="24"/>
          <w:lang w:val="en-GB"/>
        </w:rPr>
        <w:t>ed</w:t>
      </w:r>
      <w:r w:rsidRPr="00D97BA0">
        <w:rPr>
          <w:rFonts w:ascii="Arial" w:hAnsi="Arial" w:cs="Arial"/>
          <w:szCs w:val="24"/>
          <w:lang w:val="en-GB"/>
        </w:rPr>
        <w:t xml:space="preserve"> in drafting the Amendment through the application of the EAO to land considered potentially contaminated (being 509-511 Barkly Street, West Footscray, and 8 Cross Street, Footscray).</w:t>
      </w:r>
    </w:p>
    <w:p w14:paraId="611C5060" w14:textId="77777777" w:rsidR="002318DD" w:rsidRPr="00D97BA0" w:rsidRDefault="002318DD" w:rsidP="00D97BA0">
      <w:pPr>
        <w:spacing w:before="0" w:after="200"/>
        <w:jc w:val="left"/>
        <w:rPr>
          <w:rFonts w:ascii="Arial" w:hAnsi="Arial" w:cs="Arial"/>
          <w:szCs w:val="24"/>
          <w:lang w:val="en-GB"/>
        </w:rPr>
      </w:pPr>
      <w:r w:rsidRPr="00D97BA0">
        <w:rPr>
          <w:rFonts w:ascii="Arial" w:hAnsi="Arial" w:cs="Arial"/>
          <w:szCs w:val="24"/>
          <w:lang w:val="en-GB"/>
        </w:rPr>
        <w:t>During public exhibition, the EPA lodged a submission which raised new matters. In response, the Amendment was modified to apply the EAO to 438-440 Barkly Street, Footscray (following appropriate notice to affected parties), and further information has been included in this Explanatory Report to reflect new requirements in MD1.</w:t>
      </w:r>
    </w:p>
    <w:p w14:paraId="16446E23" w14:textId="77777777" w:rsidR="002318DD" w:rsidRPr="00D97BA0" w:rsidRDefault="002318DD" w:rsidP="00D97BA0">
      <w:pPr>
        <w:spacing w:before="0" w:after="200"/>
        <w:jc w:val="left"/>
        <w:rPr>
          <w:rFonts w:ascii="Arial" w:hAnsi="Arial" w:cs="Arial"/>
          <w:szCs w:val="24"/>
          <w:lang w:val="en-GB"/>
        </w:rPr>
      </w:pPr>
      <w:r w:rsidRPr="00D97BA0">
        <w:rPr>
          <w:rFonts w:ascii="Arial" w:hAnsi="Arial" w:cs="Arial"/>
          <w:szCs w:val="24"/>
          <w:lang w:val="en-GB"/>
        </w:rPr>
        <w:t xml:space="preserve">During public exhibition, submissions were also received from Melbourne Water, City West Water, Energy Safe Victoria (ESV) and Downer Utilities (on behalf of AusNet Gas Services). </w:t>
      </w:r>
    </w:p>
    <w:p w14:paraId="5A41E079" w14:textId="7CB43517" w:rsidR="002318DD" w:rsidRPr="00D97BA0" w:rsidRDefault="002318DD" w:rsidP="00D97BA0">
      <w:pPr>
        <w:spacing w:before="0" w:after="200"/>
        <w:jc w:val="left"/>
        <w:rPr>
          <w:rFonts w:ascii="Arial" w:hAnsi="Arial" w:cs="Arial"/>
          <w:szCs w:val="24"/>
          <w:lang w:val="en-GB"/>
        </w:rPr>
      </w:pPr>
      <w:r w:rsidRPr="00D97BA0">
        <w:rPr>
          <w:rFonts w:ascii="Arial" w:hAnsi="Arial" w:cs="Arial"/>
          <w:szCs w:val="24"/>
          <w:lang w:val="en-GB"/>
        </w:rPr>
        <w:t>Melbourne Water and City West Water offered their support</w:t>
      </w:r>
      <w:r w:rsidR="009604E5" w:rsidRPr="00D97BA0">
        <w:rPr>
          <w:rFonts w:ascii="Arial" w:hAnsi="Arial" w:cs="Arial"/>
          <w:szCs w:val="24"/>
          <w:lang w:val="en-GB"/>
        </w:rPr>
        <w:t xml:space="preserve"> </w:t>
      </w:r>
      <w:r w:rsidRPr="00D97BA0">
        <w:rPr>
          <w:rFonts w:ascii="Arial" w:hAnsi="Arial" w:cs="Arial"/>
          <w:szCs w:val="24"/>
          <w:lang w:val="en-GB"/>
        </w:rPr>
        <w:t xml:space="preserve">/ did not object to the Amendment. </w:t>
      </w:r>
    </w:p>
    <w:p w14:paraId="2C4D5ECB" w14:textId="3FC652D8" w:rsidR="002318DD" w:rsidRPr="00D97BA0" w:rsidRDefault="002318DD" w:rsidP="00D97BA0">
      <w:pPr>
        <w:spacing w:before="0" w:after="200"/>
        <w:jc w:val="left"/>
        <w:rPr>
          <w:rFonts w:ascii="Arial" w:hAnsi="Arial" w:cs="Arial"/>
          <w:szCs w:val="24"/>
          <w:lang w:val="en-GB"/>
        </w:rPr>
      </w:pPr>
      <w:r w:rsidRPr="00D97BA0">
        <w:rPr>
          <w:rFonts w:ascii="Arial" w:hAnsi="Arial" w:cs="Arial"/>
          <w:szCs w:val="24"/>
          <w:lang w:val="en-GB"/>
        </w:rPr>
        <w:t>ESV and Downer Utilities made submissions regarding impact on a licensed gas pipeline intersecting the Amendment area along Warleigh Road, Barkly Street and Summerhill Road (</w:t>
      </w:r>
      <w:r w:rsidR="009604E5" w:rsidRPr="00D97BA0">
        <w:rPr>
          <w:rFonts w:ascii="Arial" w:hAnsi="Arial" w:cs="Arial"/>
          <w:szCs w:val="24"/>
          <w:lang w:val="en-GB"/>
        </w:rPr>
        <w:t>P</w:t>
      </w:r>
      <w:r w:rsidRPr="00D97BA0">
        <w:rPr>
          <w:rFonts w:ascii="Arial" w:hAnsi="Arial" w:cs="Arial"/>
          <w:szCs w:val="24"/>
          <w:lang w:val="en-GB"/>
        </w:rPr>
        <w:t xml:space="preserve">recincts 1 and 2). In response, Council engaged a qualified pipeline engineer to prepare a Safety Management Study (SMS) in consultation with ESV and Downer Utilities. The SMS recommended notice of future planning permit applications in the Amendment area within 27 metres of the pipeline be </w:t>
      </w:r>
      <w:r w:rsidR="0064225E" w:rsidRPr="00D97BA0">
        <w:rPr>
          <w:rFonts w:ascii="Arial" w:hAnsi="Arial" w:cs="Arial"/>
          <w:szCs w:val="24"/>
          <w:lang w:val="en-GB"/>
        </w:rPr>
        <w:t>required</w:t>
      </w:r>
      <w:r w:rsidRPr="00D97BA0">
        <w:rPr>
          <w:rFonts w:ascii="Arial" w:hAnsi="Arial" w:cs="Arial"/>
          <w:szCs w:val="24"/>
          <w:lang w:val="en-GB"/>
        </w:rPr>
        <w:t xml:space="preserve"> to AusNet (as the relevant service provider) to consider future impact on the pipeline on a case-by-case basis. The DDO7 </w:t>
      </w:r>
      <w:r w:rsidR="002E6F75" w:rsidRPr="00D97BA0">
        <w:rPr>
          <w:rFonts w:ascii="Arial" w:hAnsi="Arial" w:cs="Arial"/>
          <w:szCs w:val="24"/>
          <w:lang w:val="en-GB"/>
        </w:rPr>
        <w:t>refers to the pipeline in a decision guideline while</w:t>
      </w:r>
      <w:r w:rsidRPr="00D97BA0">
        <w:rPr>
          <w:rFonts w:ascii="Arial" w:hAnsi="Arial" w:cs="Arial"/>
          <w:szCs w:val="24"/>
          <w:lang w:val="en-GB"/>
        </w:rPr>
        <w:t xml:space="preserve"> </w:t>
      </w:r>
      <w:r w:rsidR="002E6F75" w:rsidRPr="00D97BA0">
        <w:rPr>
          <w:rFonts w:ascii="Arial" w:hAnsi="Arial" w:cs="Arial"/>
          <w:szCs w:val="24"/>
          <w:lang w:val="en-GB"/>
        </w:rPr>
        <w:t xml:space="preserve">the </w:t>
      </w:r>
      <w:r w:rsidRPr="00D97BA0">
        <w:rPr>
          <w:rFonts w:ascii="Arial" w:hAnsi="Arial" w:cs="Arial"/>
          <w:szCs w:val="24"/>
          <w:lang w:val="en-GB"/>
        </w:rPr>
        <w:t>Schedule to Clause 66.06 (Notice of Permit Applications under Local Provisions) ha</w:t>
      </w:r>
      <w:r w:rsidR="006157F2" w:rsidRPr="00D97BA0">
        <w:rPr>
          <w:rFonts w:ascii="Arial" w:hAnsi="Arial" w:cs="Arial"/>
          <w:szCs w:val="24"/>
          <w:lang w:val="en-GB"/>
        </w:rPr>
        <w:t>s</w:t>
      </w:r>
      <w:r w:rsidRPr="00D97BA0">
        <w:rPr>
          <w:rFonts w:ascii="Arial" w:hAnsi="Arial" w:cs="Arial"/>
          <w:szCs w:val="24"/>
          <w:lang w:val="en-GB"/>
        </w:rPr>
        <w:t xml:space="preserve"> been modified to include th</w:t>
      </w:r>
      <w:r w:rsidR="006157F2" w:rsidRPr="00D97BA0">
        <w:rPr>
          <w:rFonts w:ascii="Arial" w:hAnsi="Arial" w:cs="Arial"/>
          <w:szCs w:val="24"/>
          <w:lang w:val="en-GB"/>
        </w:rPr>
        <w:t>e</w:t>
      </w:r>
      <w:r w:rsidRPr="00D97BA0">
        <w:rPr>
          <w:rFonts w:ascii="Arial" w:hAnsi="Arial" w:cs="Arial"/>
          <w:szCs w:val="24"/>
          <w:lang w:val="en-GB"/>
        </w:rPr>
        <w:t xml:space="preserve"> </w:t>
      </w:r>
      <w:r w:rsidR="0031136C" w:rsidRPr="00D97BA0">
        <w:rPr>
          <w:rFonts w:ascii="Arial" w:hAnsi="Arial" w:cs="Arial"/>
          <w:szCs w:val="24"/>
          <w:lang w:val="en-GB"/>
        </w:rPr>
        <w:t>notice requirement</w:t>
      </w:r>
      <w:r w:rsidRPr="00D97BA0">
        <w:rPr>
          <w:rFonts w:ascii="Arial" w:hAnsi="Arial" w:cs="Arial"/>
          <w:szCs w:val="24"/>
          <w:lang w:val="en-GB"/>
        </w:rPr>
        <w:t xml:space="preserve">.  </w:t>
      </w:r>
    </w:p>
    <w:p w14:paraId="4E64799B" w14:textId="08C32F2F"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Does the </w:t>
      </w:r>
      <w:r w:rsidR="00926E03" w:rsidRPr="00D97BA0">
        <w:rPr>
          <w:rFonts w:cs="Arial"/>
          <w:sz w:val="28"/>
          <w:szCs w:val="28"/>
        </w:rPr>
        <w:t>Amendment</w:t>
      </w:r>
      <w:r w:rsidRPr="00D97BA0">
        <w:rPr>
          <w:rFonts w:cs="Arial"/>
          <w:sz w:val="28"/>
          <w:szCs w:val="28"/>
        </w:rPr>
        <w:t xml:space="preserve"> address relevant requirements of the Transport Integration Act 2010?</w:t>
      </w:r>
    </w:p>
    <w:p w14:paraId="3AB2D497" w14:textId="262FE49F" w:rsidR="00D777B4" w:rsidRPr="00D97BA0" w:rsidRDefault="007152D0" w:rsidP="00D97BA0">
      <w:pPr>
        <w:pStyle w:val="Heading2"/>
        <w:spacing w:before="0" w:after="200"/>
        <w:jc w:val="left"/>
        <w:rPr>
          <w:rFonts w:cs="Arial"/>
          <w:b w:val="0"/>
          <w:bCs w:val="0"/>
          <w:szCs w:val="24"/>
          <w:lang w:val="en-GB"/>
        </w:rPr>
      </w:pPr>
      <w:r w:rsidRPr="00D97BA0">
        <w:rPr>
          <w:rFonts w:cs="Arial"/>
          <w:b w:val="0"/>
          <w:bCs w:val="0"/>
          <w:szCs w:val="24"/>
          <w:lang w:val="en-GB"/>
        </w:rPr>
        <w:t xml:space="preserve">The </w:t>
      </w:r>
      <w:r w:rsidR="00926E03" w:rsidRPr="00D97BA0">
        <w:rPr>
          <w:rFonts w:cs="Arial"/>
          <w:b w:val="0"/>
          <w:bCs w:val="0"/>
          <w:szCs w:val="24"/>
          <w:lang w:val="en-GB"/>
        </w:rPr>
        <w:t>Amendment</w:t>
      </w:r>
      <w:r w:rsidRPr="00D97BA0">
        <w:rPr>
          <w:rFonts w:cs="Arial"/>
          <w:b w:val="0"/>
          <w:bCs w:val="0"/>
          <w:szCs w:val="24"/>
          <w:lang w:val="en-GB"/>
        </w:rPr>
        <w:t xml:space="preserve"> will have a positive impact on the transport system by reducing reliance on car travel and promoting use of public and active transport modes. This will be brought about through increased ability to live and work locally in the West Footscray </w:t>
      </w:r>
      <w:r w:rsidR="008B37BD" w:rsidRPr="00D97BA0">
        <w:rPr>
          <w:rFonts w:cs="Arial"/>
          <w:b w:val="0"/>
          <w:bCs w:val="0"/>
          <w:szCs w:val="24"/>
          <w:lang w:val="en-GB"/>
        </w:rPr>
        <w:t>NAC</w:t>
      </w:r>
      <w:r w:rsidRPr="00D97BA0">
        <w:rPr>
          <w:rFonts w:cs="Arial"/>
          <w:b w:val="0"/>
          <w:bCs w:val="0"/>
          <w:szCs w:val="24"/>
          <w:lang w:val="en-GB"/>
        </w:rPr>
        <w:t xml:space="preserve"> and adjacent precincts and enhanced connections between various transport modes to encourage the use of active and public transport.  </w:t>
      </w:r>
    </w:p>
    <w:p w14:paraId="56C1E16B" w14:textId="77777777" w:rsidR="00E401A9" w:rsidRPr="00D97BA0" w:rsidRDefault="00E401A9" w:rsidP="00F84C8A">
      <w:pPr>
        <w:pStyle w:val="Heading2"/>
        <w:spacing w:before="240" w:after="240"/>
        <w:jc w:val="left"/>
        <w:rPr>
          <w:rFonts w:cs="Arial"/>
          <w:sz w:val="32"/>
          <w:szCs w:val="32"/>
        </w:rPr>
      </w:pPr>
      <w:r w:rsidRPr="00D97BA0">
        <w:rPr>
          <w:rFonts w:cs="Arial"/>
          <w:sz w:val="32"/>
          <w:szCs w:val="32"/>
        </w:rPr>
        <w:t>Resource and administrative costs</w:t>
      </w:r>
    </w:p>
    <w:p w14:paraId="66F1B4B0" w14:textId="77777777" w:rsidR="00CC2AFA" w:rsidRPr="00D97BA0" w:rsidRDefault="00CC2AFA" w:rsidP="00D97BA0">
      <w:pPr>
        <w:pStyle w:val="Heading2"/>
        <w:spacing w:before="240" w:after="240"/>
        <w:jc w:val="left"/>
        <w:rPr>
          <w:rFonts w:cs="Arial"/>
          <w:sz w:val="28"/>
          <w:szCs w:val="28"/>
        </w:rPr>
      </w:pPr>
      <w:r w:rsidRPr="00D97BA0">
        <w:rPr>
          <w:rFonts w:cs="Arial"/>
          <w:sz w:val="28"/>
          <w:szCs w:val="28"/>
        </w:rPr>
        <w:t xml:space="preserve">What impact will the new planning provisions have on the resource and administrative costs of the responsible authority? </w:t>
      </w:r>
    </w:p>
    <w:p w14:paraId="61ADB693" w14:textId="3C980633" w:rsidR="00FA1710" w:rsidRPr="00D97BA0" w:rsidRDefault="00FA1710" w:rsidP="00FA1710">
      <w:pPr>
        <w:spacing w:before="0"/>
        <w:jc w:val="left"/>
        <w:rPr>
          <w:rFonts w:ascii="Arial" w:hAnsi="Arial" w:cs="Arial"/>
          <w:color w:val="000000"/>
          <w:szCs w:val="24"/>
          <w:lang w:val="en-GB"/>
        </w:rPr>
      </w:pPr>
      <w:r w:rsidRPr="00D97BA0">
        <w:rPr>
          <w:rFonts w:ascii="Arial" w:hAnsi="Arial" w:cs="Arial"/>
          <w:color w:val="000000"/>
          <w:szCs w:val="24"/>
          <w:lang w:val="en-GB"/>
        </w:rPr>
        <w:t>The</w:t>
      </w:r>
      <w:r w:rsidR="002743AD" w:rsidRPr="00D97BA0">
        <w:rPr>
          <w:rFonts w:ascii="Arial" w:hAnsi="Arial" w:cs="Arial"/>
          <w:color w:val="000000"/>
          <w:szCs w:val="24"/>
          <w:lang w:val="en-GB"/>
        </w:rPr>
        <w:t xml:space="preserve"> </w:t>
      </w:r>
      <w:r w:rsidR="00926E03" w:rsidRPr="00D97BA0">
        <w:rPr>
          <w:rFonts w:ascii="Arial" w:hAnsi="Arial" w:cs="Arial"/>
          <w:color w:val="000000"/>
          <w:szCs w:val="24"/>
          <w:lang w:val="en-GB"/>
        </w:rPr>
        <w:t>Amendment</w:t>
      </w:r>
      <w:r w:rsidRPr="00D97BA0">
        <w:rPr>
          <w:rFonts w:ascii="Arial" w:hAnsi="Arial" w:cs="Arial"/>
          <w:color w:val="000000"/>
          <w:szCs w:val="24"/>
          <w:lang w:val="en-GB"/>
        </w:rPr>
        <w:t xml:space="preserve"> is unlikely to have substanti</w:t>
      </w:r>
      <w:r w:rsidR="008832FB" w:rsidRPr="00D97BA0">
        <w:rPr>
          <w:rFonts w:ascii="Arial" w:hAnsi="Arial" w:cs="Arial"/>
          <w:color w:val="000000"/>
          <w:szCs w:val="24"/>
          <w:lang w:val="en-GB"/>
        </w:rPr>
        <w:t>al</w:t>
      </w:r>
      <w:r w:rsidRPr="00D97BA0">
        <w:rPr>
          <w:rFonts w:ascii="Arial" w:hAnsi="Arial" w:cs="Arial"/>
          <w:color w:val="000000"/>
          <w:szCs w:val="24"/>
          <w:lang w:val="en-GB"/>
        </w:rPr>
        <w:t xml:space="preserve"> impact</w:t>
      </w:r>
      <w:r w:rsidR="008832FB" w:rsidRPr="00D97BA0">
        <w:rPr>
          <w:rFonts w:ascii="Arial" w:hAnsi="Arial" w:cs="Arial"/>
          <w:color w:val="000000"/>
          <w:szCs w:val="24"/>
          <w:lang w:val="en-GB"/>
        </w:rPr>
        <w:t>s</w:t>
      </w:r>
      <w:r w:rsidRPr="00D97BA0">
        <w:rPr>
          <w:rFonts w:ascii="Arial" w:hAnsi="Arial" w:cs="Arial"/>
          <w:color w:val="000000"/>
          <w:szCs w:val="24"/>
          <w:lang w:val="en-GB"/>
        </w:rPr>
        <w:t xml:space="preserve"> on the resource and administrative costs of the</w:t>
      </w:r>
      <w:r w:rsidR="008D603F" w:rsidRPr="00D97BA0">
        <w:rPr>
          <w:rFonts w:ascii="Arial" w:hAnsi="Arial" w:cs="Arial"/>
          <w:color w:val="000000"/>
          <w:szCs w:val="24"/>
          <w:lang w:val="en-GB"/>
        </w:rPr>
        <w:t xml:space="preserve"> </w:t>
      </w:r>
      <w:r w:rsidRPr="00D97BA0">
        <w:rPr>
          <w:rFonts w:ascii="Arial" w:hAnsi="Arial" w:cs="Arial"/>
          <w:color w:val="000000"/>
          <w:szCs w:val="24"/>
          <w:lang w:val="en-GB"/>
        </w:rPr>
        <w:t>responsible authority</w:t>
      </w:r>
      <w:r w:rsidR="008D603F" w:rsidRPr="00D97BA0">
        <w:rPr>
          <w:rFonts w:ascii="Arial" w:hAnsi="Arial" w:cs="Arial"/>
          <w:color w:val="000000"/>
          <w:szCs w:val="24"/>
          <w:lang w:val="en-GB"/>
        </w:rPr>
        <w:t>, as</w:t>
      </w:r>
      <w:r w:rsidR="000F5A87" w:rsidRPr="00D97BA0">
        <w:rPr>
          <w:rFonts w:ascii="Arial" w:hAnsi="Arial" w:cs="Arial"/>
          <w:color w:val="000000"/>
          <w:szCs w:val="24"/>
          <w:lang w:val="en-GB"/>
        </w:rPr>
        <w:t xml:space="preserve"> most development on the affected land would already require a permit</w:t>
      </w:r>
      <w:r w:rsidR="00965704" w:rsidRPr="00D97BA0">
        <w:rPr>
          <w:rFonts w:ascii="Arial" w:hAnsi="Arial" w:cs="Arial"/>
          <w:color w:val="000000"/>
          <w:szCs w:val="24"/>
          <w:lang w:val="en-GB"/>
        </w:rPr>
        <w:t>.</w:t>
      </w:r>
    </w:p>
    <w:p w14:paraId="60422228" w14:textId="75DA1E8B" w:rsidR="00E401A9" w:rsidRPr="00D97BA0" w:rsidRDefault="00E401A9" w:rsidP="00F84C8A">
      <w:pPr>
        <w:pStyle w:val="Heading2"/>
        <w:spacing w:before="240" w:after="240"/>
        <w:jc w:val="left"/>
        <w:rPr>
          <w:rFonts w:cs="Arial"/>
          <w:sz w:val="28"/>
          <w:szCs w:val="28"/>
        </w:rPr>
      </w:pPr>
      <w:r w:rsidRPr="00D97BA0">
        <w:rPr>
          <w:rFonts w:cs="Arial"/>
          <w:sz w:val="28"/>
          <w:szCs w:val="28"/>
        </w:rPr>
        <w:t xml:space="preserve">Where you may inspect this </w:t>
      </w:r>
      <w:r w:rsidR="00926E03" w:rsidRPr="00D97BA0">
        <w:rPr>
          <w:rFonts w:cs="Arial"/>
          <w:sz w:val="28"/>
          <w:szCs w:val="28"/>
        </w:rPr>
        <w:t>Amendment</w:t>
      </w:r>
    </w:p>
    <w:p w14:paraId="781D807F" w14:textId="12907E00" w:rsidR="00D97BA0" w:rsidRPr="00D97BA0" w:rsidRDefault="00D97BA0" w:rsidP="00D97BA0">
      <w:pPr>
        <w:rPr>
          <w:rFonts w:ascii="Arial" w:hAnsi="Arial" w:cs="Arial"/>
          <w:color w:val="538135" w:themeColor="accent6" w:themeShade="BF"/>
        </w:rPr>
      </w:pPr>
      <w:r w:rsidRPr="00D97BA0">
        <w:rPr>
          <w:rFonts w:ascii="Arial" w:hAnsi="Arial" w:cs="Arial"/>
        </w:rPr>
        <w:lastRenderedPageBreak/>
        <w:t xml:space="preserve">The amendment can be inspected free of charge at the </w:t>
      </w:r>
      <w:r w:rsidRPr="00C83486">
        <w:rPr>
          <w:rFonts w:ascii="Arial" w:hAnsi="Arial" w:cs="Arial"/>
        </w:rPr>
        <w:t>Maribyrnong City Council</w:t>
      </w:r>
      <w:r w:rsidRPr="00C83486">
        <w:rPr>
          <w:rFonts w:ascii="Arial" w:hAnsi="Arial" w:cs="Arial"/>
        </w:rPr>
        <w:t xml:space="preserve"> </w:t>
      </w:r>
      <w:r w:rsidRPr="00D97BA0">
        <w:rPr>
          <w:rFonts w:ascii="Arial" w:hAnsi="Arial" w:cs="Arial"/>
        </w:rPr>
        <w:t>website at</w:t>
      </w:r>
      <w:r>
        <w:rPr>
          <w:rFonts w:ascii="Arial" w:hAnsi="Arial" w:cs="Arial"/>
        </w:rPr>
        <w:t xml:space="preserve"> </w:t>
      </w:r>
      <w:hyperlink r:id="rId15" w:history="1">
        <w:r w:rsidRPr="00D97BA0">
          <w:rPr>
            <w:rStyle w:val="Hyperlink"/>
            <w:rFonts w:ascii="Arial" w:hAnsi="Arial" w:cs="Arial"/>
            <w:szCs w:val="24"/>
          </w:rPr>
          <w:t>www.maribyrnong.vic.gov.au/AmendmentC162</w:t>
        </w:r>
      </w:hyperlink>
      <w:r w:rsidRPr="00D97BA0">
        <w:rPr>
          <w:rFonts w:ascii="Arial" w:hAnsi="Arial" w:cs="Arial"/>
        </w:rPr>
        <w:t xml:space="preserve"> </w:t>
      </w:r>
    </w:p>
    <w:p w14:paraId="1ED77FA6" w14:textId="77777777" w:rsidR="00D97BA0" w:rsidRPr="00D97BA0" w:rsidRDefault="00D97BA0" w:rsidP="00D97BA0">
      <w:pPr>
        <w:rPr>
          <w:rFonts w:ascii="Arial" w:hAnsi="Arial" w:cs="Arial"/>
        </w:rPr>
      </w:pPr>
      <w:r w:rsidRPr="00D97BA0">
        <w:rPr>
          <w:rFonts w:ascii="Arial" w:hAnsi="Arial" w:cs="Arial"/>
        </w:rPr>
        <w:t>And/or</w:t>
      </w:r>
    </w:p>
    <w:p w14:paraId="4C48D25B" w14:textId="77777777" w:rsidR="00D97BA0" w:rsidRPr="00D97BA0" w:rsidRDefault="00D97BA0" w:rsidP="00D97BA0">
      <w:pPr>
        <w:rPr>
          <w:rFonts w:ascii="Arial" w:hAnsi="Arial" w:cs="Arial"/>
        </w:rPr>
      </w:pPr>
      <w:r w:rsidRPr="00D97BA0">
        <w:rPr>
          <w:rFonts w:ascii="Arial" w:hAnsi="Arial" w:cs="Arial"/>
        </w:rPr>
        <w:t>The amendment is available for public inspection, free of charge, during office hours at the following places:</w:t>
      </w:r>
    </w:p>
    <w:p w14:paraId="644D7D79" w14:textId="77777777" w:rsidR="00E2519A" w:rsidRDefault="00E2519A" w:rsidP="00E2519A">
      <w:pPr>
        <w:spacing w:before="0"/>
        <w:rPr>
          <w:rFonts w:ascii="Arial" w:hAnsi="Arial" w:cs="Arial"/>
          <w:szCs w:val="24"/>
        </w:rPr>
      </w:pPr>
    </w:p>
    <w:p w14:paraId="2589BA0B" w14:textId="200B15BB" w:rsidR="00D97BA0" w:rsidRDefault="00D97BA0" w:rsidP="00E2519A">
      <w:pPr>
        <w:spacing w:before="0"/>
        <w:rPr>
          <w:rFonts w:ascii="Arial" w:hAnsi="Arial" w:cs="Arial"/>
          <w:szCs w:val="24"/>
        </w:rPr>
      </w:pPr>
      <w:r w:rsidRPr="00D97BA0">
        <w:rPr>
          <w:rFonts w:ascii="Arial" w:hAnsi="Arial" w:cs="Arial"/>
          <w:szCs w:val="24"/>
        </w:rPr>
        <w:t>Maribyrnong City Council</w:t>
      </w:r>
    </w:p>
    <w:p w14:paraId="6E1FF136" w14:textId="77777777" w:rsidR="00E2519A" w:rsidRDefault="00E2519A" w:rsidP="00E2519A">
      <w:pPr>
        <w:spacing w:before="0"/>
        <w:rPr>
          <w:rFonts w:ascii="Arial" w:hAnsi="Arial" w:cs="Arial"/>
          <w:szCs w:val="24"/>
        </w:rPr>
      </w:pPr>
      <w:r>
        <w:rPr>
          <w:rFonts w:ascii="Arial" w:hAnsi="Arial" w:cs="Arial"/>
          <w:szCs w:val="24"/>
        </w:rPr>
        <w:t>Footscray Library</w:t>
      </w:r>
    </w:p>
    <w:p w14:paraId="3BE19684" w14:textId="77777777" w:rsidR="00E2519A" w:rsidRDefault="00E2519A" w:rsidP="00E2519A">
      <w:pPr>
        <w:spacing w:before="0"/>
        <w:rPr>
          <w:rFonts w:ascii="Arial" w:hAnsi="Arial" w:cs="Arial"/>
          <w:szCs w:val="24"/>
        </w:rPr>
      </w:pPr>
      <w:r>
        <w:rPr>
          <w:rFonts w:ascii="Arial" w:hAnsi="Arial" w:cs="Arial"/>
          <w:szCs w:val="24"/>
        </w:rPr>
        <w:t>56 Paisley Street</w:t>
      </w:r>
    </w:p>
    <w:p w14:paraId="20BAB8BD" w14:textId="40F94B08" w:rsidR="00D97BA0" w:rsidRPr="00D97BA0" w:rsidRDefault="00E2519A" w:rsidP="00E2519A">
      <w:pPr>
        <w:spacing w:before="0"/>
        <w:rPr>
          <w:rFonts w:ascii="Arial" w:hAnsi="Arial" w:cs="Arial"/>
          <w:color w:val="44546A" w:themeColor="text2"/>
        </w:rPr>
      </w:pPr>
      <w:r>
        <w:rPr>
          <w:rFonts w:ascii="Arial" w:hAnsi="Arial" w:cs="Arial"/>
          <w:szCs w:val="24"/>
        </w:rPr>
        <w:t>Footscray Vic 3011</w:t>
      </w:r>
    </w:p>
    <w:p w14:paraId="33334560" w14:textId="0BD3834C" w:rsidR="007F3B7B" w:rsidRPr="00D97BA0" w:rsidRDefault="00D97BA0" w:rsidP="00D97BA0">
      <w:pPr>
        <w:jc w:val="left"/>
        <w:rPr>
          <w:rFonts w:ascii="Arial" w:hAnsi="Arial" w:cs="Arial"/>
          <w:szCs w:val="24"/>
        </w:rPr>
      </w:pPr>
      <w:r w:rsidRPr="00D97BA0">
        <w:rPr>
          <w:rFonts w:ascii="Arial" w:hAnsi="Arial" w:cs="Arial"/>
        </w:rPr>
        <w:t xml:space="preserve">The amendment can also be inspected free of charge at the Department of Transport and Planning website at </w:t>
      </w:r>
      <w:hyperlink r:id="rId16" w:history="1">
        <w:r w:rsidRPr="00D97BA0">
          <w:rPr>
            <w:rStyle w:val="Hyperlink"/>
            <w:rFonts w:ascii="Arial" w:hAnsi="Arial" w:cs="Arial"/>
          </w:rPr>
          <w:t>http://www.planning.vic.gov.au/public-inspection</w:t>
        </w:r>
      </w:hyperlink>
      <w:r w:rsidRPr="00D97BA0">
        <w:rPr>
          <w:rFonts w:ascii="Arial" w:hAnsi="Arial" w:cs="Arial"/>
        </w:rPr>
        <w:t xml:space="preserve"> or by contacting the office on 1800 789 386 to arrange a time to view the amendment documentation.</w:t>
      </w:r>
    </w:p>
    <w:sectPr w:rsidR="007F3B7B" w:rsidRPr="00D97BA0" w:rsidSect="00E85EC7">
      <w:footerReference w:type="default" r:id="rId17"/>
      <w:footerReference w:type="first" r:id="rId18"/>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88B9" w14:textId="77777777" w:rsidR="00886500" w:rsidRDefault="00886500">
      <w:r>
        <w:separator/>
      </w:r>
    </w:p>
  </w:endnote>
  <w:endnote w:type="continuationSeparator" w:id="0">
    <w:p w14:paraId="47B9F570" w14:textId="77777777" w:rsidR="00886500" w:rsidRDefault="00886500">
      <w:r>
        <w:continuationSeparator/>
      </w:r>
    </w:p>
  </w:endnote>
  <w:endnote w:type="continuationNotice" w:id="1">
    <w:p w14:paraId="40AB0587" w14:textId="77777777" w:rsidR="00886500" w:rsidRDefault="0088650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C724" w14:textId="5EE3A879" w:rsidR="003B40C1" w:rsidRDefault="00E2519A">
    <w:pPr>
      <w:pStyle w:val="Footer"/>
    </w:pPr>
    <w:r>
      <w:rPr>
        <w:noProof/>
      </w:rPr>
      <mc:AlternateContent>
        <mc:Choice Requires="wps">
          <w:drawing>
            <wp:anchor distT="0" distB="0" distL="114300" distR="114300" simplePos="0" relativeHeight="251659264" behindDoc="0" locked="0" layoutInCell="0" allowOverlap="1" wp14:anchorId="5EC31780" wp14:editId="3ECC66C4">
              <wp:simplePos x="0" y="0"/>
              <wp:positionH relativeFrom="page">
                <wp:posOffset>0</wp:posOffset>
              </wp:positionH>
              <wp:positionV relativeFrom="page">
                <wp:posOffset>10229215</wp:posOffset>
              </wp:positionV>
              <wp:extent cx="7560945" cy="273050"/>
              <wp:effectExtent l="0" t="0" r="0" b="12700"/>
              <wp:wrapNone/>
              <wp:docPr id="5" name="MSIPCM20424486991da37da4bae11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AED4A" w14:textId="032B6079" w:rsidR="00E2519A" w:rsidRPr="00E2519A" w:rsidRDefault="00E2519A" w:rsidP="00E2519A">
                          <w:pPr>
                            <w:spacing w:before="0"/>
                            <w:jc w:val="center"/>
                            <w:rPr>
                              <w:rFonts w:ascii="Calibri" w:hAnsi="Calibri" w:cs="Calibri"/>
                              <w:color w:val="000000"/>
                            </w:rPr>
                          </w:pPr>
                          <w:r w:rsidRPr="00E2519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C31780" id="_x0000_t202" coordsize="21600,21600" o:spt="202" path="m,l,21600r21600,l21600,xe">
              <v:stroke joinstyle="miter"/>
              <v:path gradientshapeok="t" o:connecttype="rect"/>
            </v:shapetype>
            <v:shape id="MSIPCM20424486991da37da4bae112" o:spid="_x0000_s1026"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524AED4A" w14:textId="032B6079" w:rsidR="00E2519A" w:rsidRPr="00E2519A" w:rsidRDefault="00E2519A" w:rsidP="00E2519A">
                    <w:pPr>
                      <w:spacing w:before="0"/>
                      <w:jc w:val="center"/>
                      <w:rPr>
                        <w:rFonts w:ascii="Calibri" w:hAnsi="Calibri" w:cs="Calibri"/>
                        <w:color w:val="000000"/>
                      </w:rPr>
                    </w:pPr>
                    <w:r w:rsidRPr="00E2519A">
                      <w:rPr>
                        <w:rFonts w:ascii="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3778" w14:textId="0F854D13" w:rsidR="003B40C1" w:rsidRDefault="00E2519A">
    <w:pPr>
      <w:pStyle w:val="Footer"/>
    </w:pPr>
    <w:r>
      <w:rPr>
        <w:noProof/>
      </w:rPr>
      <mc:AlternateContent>
        <mc:Choice Requires="wps">
          <w:drawing>
            <wp:anchor distT="0" distB="0" distL="114300" distR="114300" simplePos="0" relativeHeight="251660288" behindDoc="0" locked="0" layoutInCell="0" allowOverlap="1" wp14:anchorId="07EA8741" wp14:editId="79E242E4">
              <wp:simplePos x="0" y="0"/>
              <wp:positionH relativeFrom="page">
                <wp:posOffset>0</wp:posOffset>
              </wp:positionH>
              <wp:positionV relativeFrom="page">
                <wp:posOffset>10229215</wp:posOffset>
              </wp:positionV>
              <wp:extent cx="7560945" cy="273050"/>
              <wp:effectExtent l="0" t="0" r="0" b="12700"/>
              <wp:wrapNone/>
              <wp:docPr id="7" name="MSIPCMbc984db5b8ec553e0bd8482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F3A4D" w14:textId="283504ED" w:rsidR="00E2519A" w:rsidRPr="00E2519A" w:rsidRDefault="00E2519A" w:rsidP="00E2519A">
                          <w:pPr>
                            <w:spacing w:before="0"/>
                            <w:jc w:val="center"/>
                            <w:rPr>
                              <w:rFonts w:ascii="Calibri" w:hAnsi="Calibri" w:cs="Calibri"/>
                              <w:color w:val="000000"/>
                            </w:rPr>
                          </w:pPr>
                          <w:r w:rsidRPr="00E2519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EA8741" id="_x0000_t202" coordsize="21600,21600" o:spt="202" path="m,l,21600r21600,l21600,xe">
              <v:stroke joinstyle="miter"/>
              <v:path gradientshapeok="t" o:connecttype="rect"/>
            </v:shapetype>
            <v:shape id="MSIPCMbc984db5b8ec553e0bd84829" o:spid="_x0000_s1027"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5EAF3A4D" w14:textId="283504ED" w:rsidR="00E2519A" w:rsidRPr="00E2519A" w:rsidRDefault="00E2519A" w:rsidP="00E2519A">
                    <w:pPr>
                      <w:spacing w:before="0"/>
                      <w:jc w:val="center"/>
                      <w:rPr>
                        <w:rFonts w:ascii="Calibri" w:hAnsi="Calibri" w:cs="Calibri"/>
                        <w:color w:val="000000"/>
                      </w:rPr>
                    </w:pPr>
                    <w:r w:rsidRPr="00E2519A">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29750" w14:textId="77777777" w:rsidR="00886500" w:rsidRDefault="00886500">
      <w:r>
        <w:separator/>
      </w:r>
    </w:p>
  </w:footnote>
  <w:footnote w:type="continuationSeparator" w:id="0">
    <w:p w14:paraId="0445C82E" w14:textId="77777777" w:rsidR="00886500" w:rsidRDefault="00886500">
      <w:r>
        <w:continuationSeparator/>
      </w:r>
    </w:p>
  </w:footnote>
  <w:footnote w:type="continuationNotice" w:id="1">
    <w:p w14:paraId="72C3D121" w14:textId="77777777" w:rsidR="00886500" w:rsidRDefault="0088650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801"/>
    <w:multiLevelType w:val="multilevel"/>
    <w:tmpl w:val="621AF758"/>
    <w:lvl w:ilvl="0">
      <w:start w:val="1"/>
      <w:numFmt w:val="bullet"/>
      <w:lvlText w:val=""/>
      <w:lvlJc w:val="left"/>
      <w:pPr>
        <w:tabs>
          <w:tab w:val="num" w:pos="720"/>
        </w:tabs>
        <w:ind w:left="720" w:hanging="360"/>
      </w:pPr>
      <w:rPr>
        <w:rFonts w:ascii="Symbol" w:hAnsi="Symbol"/>
        <w:color w:val="000000"/>
      </w:rPr>
    </w:lvl>
    <w:lvl w:ilvl="1">
      <w:start w:val="1"/>
      <w:numFmt w:val="bullet"/>
      <w:pStyle w:val="Bullets2nd"/>
      <w:lvlText w:val=""/>
      <w:lvlJc w:val="left"/>
      <w:pPr>
        <w:tabs>
          <w:tab w:val="num" w:pos="1440"/>
        </w:tabs>
        <w:ind w:left="1440" w:hanging="360"/>
      </w:pPr>
      <w:rPr>
        <w:rFonts w:ascii="Symbol" w:hAnsi="Symbol"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05812"/>
    <w:multiLevelType w:val="hybridMultilevel"/>
    <w:tmpl w:val="BEE02152"/>
    <w:lvl w:ilvl="0" w:tplc="EBB65238">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979E8"/>
    <w:multiLevelType w:val="hybridMultilevel"/>
    <w:tmpl w:val="0C545BD0"/>
    <w:lvl w:ilvl="0" w:tplc="AF305B20">
      <w:start w:val="1"/>
      <w:numFmt w:val="bullet"/>
      <w:pStyle w:val="ICBullets"/>
      <w:lvlText w:val=""/>
      <w:lvlJc w:val="left"/>
      <w:pPr>
        <w:ind w:left="720" w:hanging="360"/>
      </w:pPr>
      <w:rPr>
        <w:rFonts w:ascii="Symbol" w:hAnsi="Symbol" w:hint="default"/>
      </w:rPr>
    </w:lvl>
    <w:lvl w:ilvl="1" w:tplc="D1008A30">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CA0CE8"/>
    <w:multiLevelType w:val="hybridMultilevel"/>
    <w:tmpl w:val="1CF09C1C"/>
    <w:lvl w:ilvl="0" w:tplc="755240D2">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ED783F"/>
    <w:multiLevelType w:val="hybridMultilevel"/>
    <w:tmpl w:val="6B6ED02A"/>
    <w:lvl w:ilvl="0" w:tplc="8CFC172C">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F4C3783"/>
    <w:multiLevelType w:val="hybridMultilevel"/>
    <w:tmpl w:val="EC0E9DAC"/>
    <w:lvl w:ilvl="0" w:tplc="033695F8">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487F0F"/>
    <w:multiLevelType w:val="hybridMultilevel"/>
    <w:tmpl w:val="167CD0CE"/>
    <w:lvl w:ilvl="0" w:tplc="72522FB8">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825103"/>
    <w:multiLevelType w:val="hybridMultilevel"/>
    <w:tmpl w:val="4EEC48C2"/>
    <w:lvl w:ilvl="0" w:tplc="27CAF130">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82023A"/>
    <w:multiLevelType w:val="hybridMultilevel"/>
    <w:tmpl w:val="6CAC6500"/>
    <w:lvl w:ilvl="0" w:tplc="7E18D52A">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356654"/>
    <w:multiLevelType w:val="hybridMultilevel"/>
    <w:tmpl w:val="2F1A6164"/>
    <w:lvl w:ilvl="0" w:tplc="6DB8BBA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7B2CDC"/>
    <w:multiLevelType w:val="hybridMultilevel"/>
    <w:tmpl w:val="D3EEDD86"/>
    <w:lvl w:ilvl="0" w:tplc="5738998A">
      <w:start w:val="2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1E0FB7"/>
    <w:multiLevelType w:val="hybridMultilevel"/>
    <w:tmpl w:val="7FEAD5F8"/>
    <w:lvl w:ilvl="0" w:tplc="E6FCCF7E">
      <w:start w:val="2"/>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263483"/>
    <w:multiLevelType w:val="hybridMultilevel"/>
    <w:tmpl w:val="406CC98E"/>
    <w:lvl w:ilvl="0" w:tplc="C0365F0C">
      <w:start w:val="1"/>
      <w:numFmt w:val="bullet"/>
      <w:pStyle w:val="Bullet1"/>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04C5251"/>
    <w:multiLevelType w:val="hybridMultilevel"/>
    <w:tmpl w:val="651C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F36AF1"/>
    <w:multiLevelType w:val="hybridMultilevel"/>
    <w:tmpl w:val="D2802610"/>
    <w:lvl w:ilvl="0" w:tplc="24F41B62">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123758"/>
    <w:multiLevelType w:val="hybridMultilevel"/>
    <w:tmpl w:val="C8CE13F0"/>
    <w:lvl w:ilvl="0" w:tplc="20BE8D9A">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1837768">
    <w:abstractNumId w:val="12"/>
  </w:num>
  <w:num w:numId="2" w16cid:durableId="1239438802">
    <w:abstractNumId w:val="3"/>
  </w:num>
  <w:num w:numId="3" w16cid:durableId="2091344136">
    <w:abstractNumId w:val="0"/>
  </w:num>
  <w:num w:numId="4" w16cid:durableId="1124154667">
    <w:abstractNumId w:val="15"/>
  </w:num>
  <w:num w:numId="5" w16cid:durableId="366565904">
    <w:abstractNumId w:val="14"/>
  </w:num>
  <w:num w:numId="6" w16cid:durableId="344523434">
    <w:abstractNumId w:val="14"/>
  </w:num>
  <w:num w:numId="7" w16cid:durableId="1325206930">
    <w:abstractNumId w:val="14"/>
  </w:num>
  <w:num w:numId="8" w16cid:durableId="2005890451">
    <w:abstractNumId w:val="14"/>
  </w:num>
  <w:num w:numId="9" w16cid:durableId="1474758859">
    <w:abstractNumId w:val="14"/>
  </w:num>
  <w:num w:numId="10" w16cid:durableId="1103186073">
    <w:abstractNumId w:val="16"/>
  </w:num>
  <w:num w:numId="11" w16cid:durableId="55321211">
    <w:abstractNumId w:val="8"/>
  </w:num>
  <w:num w:numId="12" w16cid:durableId="1905217102">
    <w:abstractNumId w:val="11"/>
  </w:num>
  <w:num w:numId="13" w16cid:durableId="1839223675">
    <w:abstractNumId w:val="2"/>
  </w:num>
  <w:num w:numId="14" w16cid:durableId="936642608">
    <w:abstractNumId w:val="10"/>
  </w:num>
  <w:num w:numId="15" w16cid:durableId="698162808">
    <w:abstractNumId w:val="7"/>
  </w:num>
  <w:num w:numId="16" w16cid:durableId="275061672">
    <w:abstractNumId w:val="17"/>
  </w:num>
  <w:num w:numId="17" w16cid:durableId="388308617">
    <w:abstractNumId w:val="13"/>
  </w:num>
  <w:num w:numId="18" w16cid:durableId="2009015738">
    <w:abstractNumId w:val="6"/>
  </w:num>
  <w:num w:numId="19" w16cid:durableId="848057293">
    <w:abstractNumId w:val="9"/>
  </w:num>
  <w:num w:numId="20" w16cid:durableId="1553271250">
    <w:abstractNumId w:val="4"/>
  </w:num>
  <w:num w:numId="21" w16cid:durableId="1355956110">
    <w:abstractNumId w:val="1"/>
  </w:num>
  <w:num w:numId="22" w16cid:durableId="902986952">
    <w:abstractNumId w:val="5"/>
  </w:num>
  <w:num w:numId="23" w16cid:durableId="139782585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15"/>
    <w:rsid w:val="00000430"/>
    <w:rsid w:val="00004A81"/>
    <w:rsid w:val="00007693"/>
    <w:rsid w:val="00012AE5"/>
    <w:rsid w:val="00020327"/>
    <w:rsid w:val="00023C95"/>
    <w:rsid w:val="00030F1D"/>
    <w:rsid w:val="000337E2"/>
    <w:rsid w:val="00035AEB"/>
    <w:rsid w:val="00051CF3"/>
    <w:rsid w:val="00055F40"/>
    <w:rsid w:val="00056928"/>
    <w:rsid w:val="00063365"/>
    <w:rsid w:val="00064A2F"/>
    <w:rsid w:val="00064B9D"/>
    <w:rsid w:val="000668CF"/>
    <w:rsid w:val="000701A8"/>
    <w:rsid w:val="000704D9"/>
    <w:rsid w:val="00073608"/>
    <w:rsid w:val="000779DC"/>
    <w:rsid w:val="00081824"/>
    <w:rsid w:val="00084C1B"/>
    <w:rsid w:val="000856CA"/>
    <w:rsid w:val="00085948"/>
    <w:rsid w:val="00091F60"/>
    <w:rsid w:val="00095995"/>
    <w:rsid w:val="00097A3F"/>
    <w:rsid w:val="000A66E7"/>
    <w:rsid w:val="000B1E0B"/>
    <w:rsid w:val="000B6067"/>
    <w:rsid w:val="000C430C"/>
    <w:rsid w:val="000C4CD6"/>
    <w:rsid w:val="000C65EF"/>
    <w:rsid w:val="000E1597"/>
    <w:rsid w:val="000E30C1"/>
    <w:rsid w:val="000E3414"/>
    <w:rsid w:val="000E4E73"/>
    <w:rsid w:val="000F2B5F"/>
    <w:rsid w:val="000F5A87"/>
    <w:rsid w:val="000F74D4"/>
    <w:rsid w:val="00104029"/>
    <w:rsid w:val="001068D8"/>
    <w:rsid w:val="00111E10"/>
    <w:rsid w:val="001142A4"/>
    <w:rsid w:val="00116FA7"/>
    <w:rsid w:val="001256D4"/>
    <w:rsid w:val="00133270"/>
    <w:rsid w:val="001344DC"/>
    <w:rsid w:val="00142B0A"/>
    <w:rsid w:val="001438D7"/>
    <w:rsid w:val="0014525E"/>
    <w:rsid w:val="00145C98"/>
    <w:rsid w:val="00146F0A"/>
    <w:rsid w:val="0015347F"/>
    <w:rsid w:val="0015449E"/>
    <w:rsid w:val="0016213E"/>
    <w:rsid w:val="00165FF9"/>
    <w:rsid w:val="001708AA"/>
    <w:rsid w:val="0017548E"/>
    <w:rsid w:val="00175AA5"/>
    <w:rsid w:val="00182E17"/>
    <w:rsid w:val="001877C6"/>
    <w:rsid w:val="001A0342"/>
    <w:rsid w:val="001A0738"/>
    <w:rsid w:val="001A21C9"/>
    <w:rsid w:val="001B06DB"/>
    <w:rsid w:val="001B3AB0"/>
    <w:rsid w:val="001C01B1"/>
    <w:rsid w:val="001C0593"/>
    <w:rsid w:val="001C6149"/>
    <w:rsid w:val="001C782E"/>
    <w:rsid w:val="001D103C"/>
    <w:rsid w:val="001D1A57"/>
    <w:rsid w:val="001E1124"/>
    <w:rsid w:val="001E53D0"/>
    <w:rsid w:val="001E78CF"/>
    <w:rsid w:val="001F0149"/>
    <w:rsid w:val="001F1FC1"/>
    <w:rsid w:val="00205478"/>
    <w:rsid w:val="00210367"/>
    <w:rsid w:val="00214220"/>
    <w:rsid w:val="00214DB9"/>
    <w:rsid w:val="00215C72"/>
    <w:rsid w:val="00217E7B"/>
    <w:rsid w:val="002234D2"/>
    <w:rsid w:val="002318DD"/>
    <w:rsid w:val="00233DBF"/>
    <w:rsid w:val="00241836"/>
    <w:rsid w:val="00261580"/>
    <w:rsid w:val="00261ED3"/>
    <w:rsid w:val="002743AD"/>
    <w:rsid w:val="00276641"/>
    <w:rsid w:val="0028168D"/>
    <w:rsid w:val="002822CF"/>
    <w:rsid w:val="0028296D"/>
    <w:rsid w:val="00293AB2"/>
    <w:rsid w:val="002A2081"/>
    <w:rsid w:val="002A2C96"/>
    <w:rsid w:val="002A30FB"/>
    <w:rsid w:val="002A53C0"/>
    <w:rsid w:val="002B3EB1"/>
    <w:rsid w:val="002B709B"/>
    <w:rsid w:val="002C0527"/>
    <w:rsid w:val="002C196C"/>
    <w:rsid w:val="002C77A3"/>
    <w:rsid w:val="002D17AF"/>
    <w:rsid w:val="002D1F07"/>
    <w:rsid w:val="002D39B1"/>
    <w:rsid w:val="002D75F1"/>
    <w:rsid w:val="002E4A8F"/>
    <w:rsid w:val="002E6F75"/>
    <w:rsid w:val="002E7E20"/>
    <w:rsid w:val="002F3825"/>
    <w:rsid w:val="002F3BA7"/>
    <w:rsid w:val="002F799D"/>
    <w:rsid w:val="003001FD"/>
    <w:rsid w:val="00301495"/>
    <w:rsid w:val="00303BEF"/>
    <w:rsid w:val="00304325"/>
    <w:rsid w:val="00306C68"/>
    <w:rsid w:val="0030757B"/>
    <w:rsid w:val="0031136C"/>
    <w:rsid w:val="00317A90"/>
    <w:rsid w:val="0032627D"/>
    <w:rsid w:val="00337D32"/>
    <w:rsid w:val="00342B21"/>
    <w:rsid w:val="00346A20"/>
    <w:rsid w:val="00346AC4"/>
    <w:rsid w:val="00347949"/>
    <w:rsid w:val="00350F60"/>
    <w:rsid w:val="00354750"/>
    <w:rsid w:val="00357945"/>
    <w:rsid w:val="00363757"/>
    <w:rsid w:val="0036477E"/>
    <w:rsid w:val="00365BAC"/>
    <w:rsid w:val="003662F4"/>
    <w:rsid w:val="00366EFE"/>
    <w:rsid w:val="00371CC2"/>
    <w:rsid w:val="00374C4D"/>
    <w:rsid w:val="003842F9"/>
    <w:rsid w:val="00385176"/>
    <w:rsid w:val="00385E61"/>
    <w:rsid w:val="00386F34"/>
    <w:rsid w:val="00395058"/>
    <w:rsid w:val="003A25B7"/>
    <w:rsid w:val="003A576D"/>
    <w:rsid w:val="003B0332"/>
    <w:rsid w:val="003B4022"/>
    <w:rsid w:val="003B40C1"/>
    <w:rsid w:val="003B4E89"/>
    <w:rsid w:val="003B6F98"/>
    <w:rsid w:val="003C0A49"/>
    <w:rsid w:val="003C28E0"/>
    <w:rsid w:val="003D3452"/>
    <w:rsid w:val="003D3578"/>
    <w:rsid w:val="003E47D4"/>
    <w:rsid w:val="003E771D"/>
    <w:rsid w:val="003F13D4"/>
    <w:rsid w:val="0040268F"/>
    <w:rsid w:val="00403E42"/>
    <w:rsid w:val="00404693"/>
    <w:rsid w:val="004202FB"/>
    <w:rsid w:val="00420A5B"/>
    <w:rsid w:val="0043011F"/>
    <w:rsid w:val="00431FE1"/>
    <w:rsid w:val="004341D2"/>
    <w:rsid w:val="00434CFE"/>
    <w:rsid w:val="00437138"/>
    <w:rsid w:val="00457406"/>
    <w:rsid w:val="004666CF"/>
    <w:rsid w:val="00470BD1"/>
    <w:rsid w:val="0047628B"/>
    <w:rsid w:val="00482654"/>
    <w:rsid w:val="00487130"/>
    <w:rsid w:val="00492CAB"/>
    <w:rsid w:val="004937F8"/>
    <w:rsid w:val="00493840"/>
    <w:rsid w:val="0049725E"/>
    <w:rsid w:val="004A64CE"/>
    <w:rsid w:val="004A651A"/>
    <w:rsid w:val="004B7C8C"/>
    <w:rsid w:val="004C1BC8"/>
    <w:rsid w:val="004C5AEB"/>
    <w:rsid w:val="004C616E"/>
    <w:rsid w:val="004D2140"/>
    <w:rsid w:val="004D3E9E"/>
    <w:rsid w:val="004D7744"/>
    <w:rsid w:val="004E497F"/>
    <w:rsid w:val="004F279F"/>
    <w:rsid w:val="004F2A9F"/>
    <w:rsid w:val="004F5562"/>
    <w:rsid w:val="004F56D4"/>
    <w:rsid w:val="005005EA"/>
    <w:rsid w:val="0050587C"/>
    <w:rsid w:val="00506425"/>
    <w:rsid w:val="00507038"/>
    <w:rsid w:val="005244B9"/>
    <w:rsid w:val="005321AC"/>
    <w:rsid w:val="005325E4"/>
    <w:rsid w:val="00537F79"/>
    <w:rsid w:val="00542081"/>
    <w:rsid w:val="00543625"/>
    <w:rsid w:val="00543994"/>
    <w:rsid w:val="00544365"/>
    <w:rsid w:val="00544C31"/>
    <w:rsid w:val="00545A84"/>
    <w:rsid w:val="00545FC9"/>
    <w:rsid w:val="0055326F"/>
    <w:rsid w:val="00555B54"/>
    <w:rsid w:val="00557FF1"/>
    <w:rsid w:val="00564A3B"/>
    <w:rsid w:val="005655D4"/>
    <w:rsid w:val="00570D9C"/>
    <w:rsid w:val="00572C76"/>
    <w:rsid w:val="0057661E"/>
    <w:rsid w:val="005801EE"/>
    <w:rsid w:val="00582A9D"/>
    <w:rsid w:val="005849B4"/>
    <w:rsid w:val="00585569"/>
    <w:rsid w:val="00593A32"/>
    <w:rsid w:val="00594DFD"/>
    <w:rsid w:val="00595181"/>
    <w:rsid w:val="005A01B6"/>
    <w:rsid w:val="005A1193"/>
    <w:rsid w:val="005A6B3D"/>
    <w:rsid w:val="005B0099"/>
    <w:rsid w:val="005B4B6D"/>
    <w:rsid w:val="005C12D1"/>
    <w:rsid w:val="005C1334"/>
    <w:rsid w:val="005C3387"/>
    <w:rsid w:val="005C7405"/>
    <w:rsid w:val="005D01D7"/>
    <w:rsid w:val="005D26C8"/>
    <w:rsid w:val="005D4E64"/>
    <w:rsid w:val="005D5D08"/>
    <w:rsid w:val="005E3852"/>
    <w:rsid w:val="005F24B5"/>
    <w:rsid w:val="005F311B"/>
    <w:rsid w:val="005F508F"/>
    <w:rsid w:val="005F6B82"/>
    <w:rsid w:val="006015F8"/>
    <w:rsid w:val="00603823"/>
    <w:rsid w:val="0060690A"/>
    <w:rsid w:val="00607BBB"/>
    <w:rsid w:val="006109DA"/>
    <w:rsid w:val="006154C5"/>
    <w:rsid w:val="006157F2"/>
    <w:rsid w:val="00621E1B"/>
    <w:rsid w:val="00624327"/>
    <w:rsid w:val="0063708B"/>
    <w:rsid w:val="006372AC"/>
    <w:rsid w:val="0063779D"/>
    <w:rsid w:val="00641366"/>
    <w:rsid w:val="0064225E"/>
    <w:rsid w:val="00646305"/>
    <w:rsid w:val="00646515"/>
    <w:rsid w:val="00647B8F"/>
    <w:rsid w:val="0065230A"/>
    <w:rsid w:val="006604E7"/>
    <w:rsid w:val="00662D4D"/>
    <w:rsid w:val="00667AF4"/>
    <w:rsid w:val="00673246"/>
    <w:rsid w:val="0067340E"/>
    <w:rsid w:val="006749A4"/>
    <w:rsid w:val="00677BB8"/>
    <w:rsid w:val="00680189"/>
    <w:rsid w:val="006805BC"/>
    <w:rsid w:val="006843EC"/>
    <w:rsid w:val="00684895"/>
    <w:rsid w:val="00686C31"/>
    <w:rsid w:val="006932D8"/>
    <w:rsid w:val="00694464"/>
    <w:rsid w:val="006A1A04"/>
    <w:rsid w:val="006A6004"/>
    <w:rsid w:val="006B5D99"/>
    <w:rsid w:val="006C3B6C"/>
    <w:rsid w:val="006D3E93"/>
    <w:rsid w:val="006D63C2"/>
    <w:rsid w:val="006D71DC"/>
    <w:rsid w:val="006D740D"/>
    <w:rsid w:val="006E2E4F"/>
    <w:rsid w:val="006E3361"/>
    <w:rsid w:val="006E75C1"/>
    <w:rsid w:val="00711237"/>
    <w:rsid w:val="0071526B"/>
    <w:rsid w:val="007152D0"/>
    <w:rsid w:val="007243A4"/>
    <w:rsid w:val="0072782F"/>
    <w:rsid w:val="00737960"/>
    <w:rsid w:val="007379EB"/>
    <w:rsid w:val="007458F4"/>
    <w:rsid w:val="007706A8"/>
    <w:rsid w:val="00785053"/>
    <w:rsid w:val="0078678F"/>
    <w:rsid w:val="0079381F"/>
    <w:rsid w:val="007A0E5D"/>
    <w:rsid w:val="007A4DF1"/>
    <w:rsid w:val="007B06BB"/>
    <w:rsid w:val="007B140F"/>
    <w:rsid w:val="007B3AE0"/>
    <w:rsid w:val="007C1C7C"/>
    <w:rsid w:val="007C31E9"/>
    <w:rsid w:val="007C4403"/>
    <w:rsid w:val="007C65B4"/>
    <w:rsid w:val="007D1437"/>
    <w:rsid w:val="007D670B"/>
    <w:rsid w:val="007D7D6D"/>
    <w:rsid w:val="007E2BEF"/>
    <w:rsid w:val="007E3098"/>
    <w:rsid w:val="007F3B7B"/>
    <w:rsid w:val="007F7AF8"/>
    <w:rsid w:val="00801FA1"/>
    <w:rsid w:val="00803706"/>
    <w:rsid w:val="00803E04"/>
    <w:rsid w:val="00805BFB"/>
    <w:rsid w:val="0080690D"/>
    <w:rsid w:val="00810197"/>
    <w:rsid w:val="008122AB"/>
    <w:rsid w:val="00814A45"/>
    <w:rsid w:val="00814F1E"/>
    <w:rsid w:val="0081542E"/>
    <w:rsid w:val="00821867"/>
    <w:rsid w:val="00822295"/>
    <w:rsid w:val="00823BB7"/>
    <w:rsid w:val="008310E5"/>
    <w:rsid w:val="00831227"/>
    <w:rsid w:val="00834E5C"/>
    <w:rsid w:val="00836BA4"/>
    <w:rsid w:val="00840CA5"/>
    <w:rsid w:val="00842A4D"/>
    <w:rsid w:val="00850697"/>
    <w:rsid w:val="00851EEF"/>
    <w:rsid w:val="00855A78"/>
    <w:rsid w:val="0085732E"/>
    <w:rsid w:val="00867C8E"/>
    <w:rsid w:val="0087020F"/>
    <w:rsid w:val="00875092"/>
    <w:rsid w:val="00876BCF"/>
    <w:rsid w:val="00877E38"/>
    <w:rsid w:val="008832FB"/>
    <w:rsid w:val="0088336B"/>
    <w:rsid w:val="008840C3"/>
    <w:rsid w:val="00886500"/>
    <w:rsid w:val="00887A8A"/>
    <w:rsid w:val="00891776"/>
    <w:rsid w:val="0089591F"/>
    <w:rsid w:val="008A1D1B"/>
    <w:rsid w:val="008B2FB6"/>
    <w:rsid w:val="008B324D"/>
    <w:rsid w:val="008B37BD"/>
    <w:rsid w:val="008B44DB"/>
    <w:rsid w:val="008B4589"/>
    <w:rsid w:val="008B7741"/>
    <w:rsid w:val="008C265C"/>
    <w:rsid w:val="008C4DB0"/>
    <w:rsid w:val="008C7699"/>
    <w:rsid w:val="008D603F"/>
    <w:rsid w:val="008E5673"/>
    <w:rsid w:val="008E5A5E"/>
    <w:rsid w:val="008F011A"/>
    <w:rsid w:val="008F7396"/>
    <w:rsid w:val="008F7745"/>
    <w:rsid w:val="009079FA"/>
    <w:rsid w:val="00924A0E"/>
    <w:rsid w:val="00926632"/>
    <w:rsid w:val="00926E03"/>
    <w:rsid w:val="009274C0"/>
    <w:rsid w:val="00935CDE"/>
    <w:rsid w:val="00941EA4"/>
    <w:rsid w:val="0094272D"/>
    <w:rsid w:val="00942858"/>
    <w:rsid w:val="00944926"/>
    <w:rsid w:val="00944ABD"/>
    <w:rsid w:val="009461BA"/>
    <w:rsid w:val="00950668"/>
    <w:rsid w:val="00956CAA"/>
    <w:rsid w:val="009604E5"/>
    <w:rsid w:val="00961DA7"/>
    <w:rsid w:val="00965704"/>
    <w:rsid w:val="0096763B"/>
    <w:rsid w:val="00974626"/>
    <w:rsid w:val="00992EEB"/>
    <w:rsid w:val="00993F1A"/>
    <w:rsid w:val="00994120"/>
    <w:rsid w:val="00996256"/>
    <w:rsid w:val="00996878"/>
    <w:rsid w:val="009A149F"/>
    <w:rsid w:val="009A2D3F"/>
    <w:rsid w:val="009A6079"/>
    <w:rsid w:val="009D08AF"/>
    <w:rsid w:val="009D14F6"/>
    <w:rsid w:val="009D251A"/>
    <w:rsid w:val="009D6E94"/>
    <w:rsid w:val="009D6F11"/>
    <w:rsid w:val="009D705C"/>
    <w:rsid w:val="009E128E"/>
    <w:rsid w:val="009E53DA"/>
    <w:rsid w:val="009F2DAC"/>
    <w:rsid w:val="009F2E4C"/>
    <w:rsid w:val="009F4B60"/>
    <w:rsid w:val="009F688F"/>
    <w:rsid w:val="009F7619"/>
    <w:rsid w:val="00A009DB"/>
    <w:rsid w:val="00A01A8C"/>
    <w:rsid w:val="00A05982"/>
    <w:rsid w:val="00A06807"/>
    <w:rsid w:val="00A068E6"/>
    <w:rsid w:val="00A11187"/>
    <w:rsid w:val="00A11194"/>
    <w:rsid w:val="00A17D9E"/>
    <w:rsid w:val="00A200C6"/>
    <w:rsid w:val="00A26239"/>
    <w:rsid w:val="00A27817"/>
    <w:rsid w:val="00A35C78"/>
    <w:rsid w:val="00A3769A"/>
    <w:rsid w:val="00A52D75"/>
    <w:rsid w:val="00A54C8B"/>
    <w:rsid w:val="00A5730B"/>
    <w:rsid w:val="00A642C3"/>
    <w:rsid w:val="00A74F78"/>
    <w:rsid w:val="00A7587E"/>
    <w:rsid w:val="00A81656"/>
    <w:rsid w:val="00A852C0"/>
    <w:rsid w:val="00A85B4F"/>
    <w:rsid w:val="00A9162D"/>
    <w:rsid w:val="00AA4E96"/>
    <w:rsid w:val="00AA593E"/>
    <w:rsid w:val="00AB7ECC"/>
    <w:rsid w:val="00AC1043"/>
    <w:rsid w:val="00AC418E"/>
    <w:rsid w:val="00AC4DD2"/>
    <w:rsid w:val="00AD0B12"/>
    <w:rsid w:val="00AD1558"/>
    <w:rsid w:val="00AD32D4"/>
    <w:rsid w:val="00AD3B17"/>
    <w:rsid w:val="00AD4423"/>
    <w:rsid w:val="00AD7560"/>
    <w:rsid w:val="00AE4ABB"/>
    <w:rsid w:val="00AE7F06"/>
    <w:rsid w:val="00B010E5"/>
    <w:rsid w:val="00B13591"/>
    <w:rsid w:val="00B13B0A"/>
    <w:rsid w:val="00B25BA0"/>
    <w:rsid w:val="00B26F24"/>
    <w:rsid w:val="00B34AA9"/>
    <w:rsid w:val="00B4285B"/>
    <w:rsid w:val="00B446B9"/>
    <w:rsid w:val="00B463B4"/>
    <w:rsid w:val="00B511DF"/>
    <w:rsid w:val="00B53E86"/>
    <w:rsid w:val="00B54B64"/>
    <w:rsid w:val="00B55979"/>
    <w:rsid w:val="00B57123"/>
    <w:rsid w:val="00B60940"/>
    <w:rsid w:val="00B6428E"/>
    <w:rsid w:val="00B6664C"/>
    <w:rsid w:val="00B724C4"/>
    <w:rsid w:val="00B726B2"/>
    <w:rsid w:val="00B732D5"/>
    <w:rsid w:val="00B7336A"/>
    <w:rsid w:val="00B738BF"/>
    <w:rsid w:val="00B747E4"/>
    <w:rsid w:val="00B74D9F"/>
    <w:rsid w:val="00B75180"/>
    <w:rsid w:val="00B83CCE"/>
    <w:rsid w:val="00B87810"/>
    <w:rsid w:val="00B91EA4"/>
    <w:rsid w:val="00B92DAC"/>
    <w:rsid w:val="00BA2FA3"/>
    <w:rsid w:val="00BB1CA4"/>
    <w:rsid w:val="00BB2308"/>
    <w:rsid w:val="00BB588F"/>
    <w:rsid w:val="00BB669E"/>
    <w:rsid w:val="00BB72AA"/>
    <w:rsid w:val="00BC17A0"/>
    <w:rsid w:val="00BC596D"/>
    <w:rsid w:val="00BE15BA"/>
    <w:rsid w:val="00BE302E"/>
    <w:rsid w:val="00BE3365"/>
    <w:rsid w:val="00BE3A87"/>
    <w:rsid w:val="00BE4424"/>
    <w:rsid w:val="00BE6FD3"/>
    <w:rsid w:val="00BF1B20"/>
    <w:rsid w:val="00BF2F01"/>
    <w:rsid w:val="00BF70B3"/>
    <w:rsid w:val="00C0606D"/>
    <w:rsid w:val="00C10369"/>
    <w:rsid w:val="00C10F3F"/>
    <w:rsid w:val="00C11962"/>
    <w:rsid w:val="00C457D9"/>
    <w:rsid w:val="00C537D1"/>
    <w:rsid w:val="00C5729E"/>
    <w:rsid w:val="00C613C5"/>
    <w:rsid w:val="00C7309A"/>
    <w:rsid w:val="00C7372D"/>
    <w:rsid w:val="00C77483"/>
    <w:rsid w:val="00C77D10"/>
    <w:rsid w:val="00C83486"/>
    <w:rsid w:val="00C8485F"/>
    <w:rsid w:val="00C93B2C"/>
    <w:rsid w:val="00C94EEB"/>
    <w:rsid w:val="00C970A1"/>
    <w:rsid w:val="00CA3958"/>
    <w:rsid w:val="00CA6967"/>
    <w:rsid w:val="00CB0744"/>
    <w:rsid w:val="00CC2AFA"/>
    <w:rsid w:val="00CC3B73"/>
    <w:rsid w:val="00CC60C3"/>
    <w:rsid w:val="00CD5C7E"/>
    <w:rsid w:val="00CD64B8"/>
    <w:rsid w:val="00CE4372"/>
    <w:rsid w:val="00CE5D3B"/>
    <w:rsid w:val="00CF1526"/>
    <w:rsid w:val="00CF4AB0"/>
    <w:rsid w:val="00D058EE"/>
    <w:rsid w:val="00D14562"/>
    <w:rsid w:val="00D2003D"/>
    <w:rsid w:val="00D26ECE"/>
    <w:rsid w:val="00D2739C"/>
    <w:rsid w:val="00D3124D"/>
    <w:rsid w:val="00D321D8"/>
    <w:rsid w:val="00D3349F"/>
    <w:rsid w:val="00D33BC2"/>
    <w:rsid w:val="00D56887"/>
    <w:rsid w:val="00D57C0D"/>
    <w:rsid w:val="00D66316"/>
    <w:rsid w:val="00D765DA"/>
    <w:rsid w:val="00D777B4"/>
    <w:rsid w:val="00D842DB"/>
    <w:rsid w:val="00D86908"/>
    <w:rsid w:val="00D97BA0"/>
    <w:rsid w:val="00DA0679"/>
    <w:rsid w:val="00DB51CA"/>
    <w:rsid w:val="00DB5390"/>
    <w:rsid w:val="00DB5756"/>
    <w:rsid w:val="00DB5D80"/>
    <w:rsid w:val="00DC5121"/>
    <w:rsid w:val="00DC5939"/>
    <w:rsid w:val="00DD1980"/>
    <w:rsid w:val="00DD563A"/>
    <w:rsid w:val="00DE4A0D"/>
    <w:rsid w:val="00DE5C1C"/>
    <w:rsid w:val="00DF0A9C"/>
    <w:rsid w:val="00DF1B68"/>
    <w:rsid w:val="00DF2788"/>
    <w:rsid w:val="00E02713"/>
    <w:rsid w:val="00E07AF5"/>
    <w:rsid w:val="00E12444"/>
    <w:rsid w:val="00E206FB"/>
    <w:rsid w:val="00E2519A"/>
    <w:rsid w:val="00E3120A"/>
    <w:rsid w:val="00E3131E"/>
    <w:rsid w:val="00E34741"/>
    <w:rsid w:val="00E37292"/>
    <w:rsid w:val="00E401A9"/>
    <w:rsid w:val="00E41963"/>
    <w:rsid w:val="00E43A66"/>
    <w:rsid w:val="00E56992"/>
    <w:rsid w:val="00E61D20"/>
    <w:rsid w:val="00E64B56"/>
    <w:rsid w:val="00E6652C"/>
    <w:rsid w:val="00E670BD"/>
    <w:rsid w:val="00E744E0"/>
    <w:rsid w:val="00E8150D"/>
    <w:rsid w:val="00E84AB2"/>
    <w:rsid w:val="00E85EC7"/>
    <w:rsid w:val="00E91EBF"/>
    <w:rsid w:val="00E9323A"/>
    <w:rsid w:val="00E96023"/>
    <w:rsid w:val="00EB1172"/>
    <w:rsid w:val="00EB6116"/>
    <w:rsid w:val="00EC286B"/>
    <w:rsid w:val="00EC4EA7"/>
    <w:rsid w:val="00ED3674"/>
    <w:rsid w:val="00ED49CF"/>
    <w:rsid w:val="00EE21EB"/>
    <w:rsid w:val="00EF116F"/>
    <w:rsid w:val="00EF2D04"/>
    <w:rsid w:val="00F0706D"/>
    <w:rsid w:val="00F24F44"/>
    <w:rsid w:val="00F2627D"/>
    <w:rsid w:val="00F27102"/>
    <w:rsid w:val="00F3018D"/>
    <w:rsid w:val="00F34311"/>
    <w:rsid w:val="00F36F27"/>
    <w:rsid w:val="00F42A24"/>
    <w:rsid w:val="00F5295F"/>
    <w:rsid w:val="00F547F1"/>
    <w:rsid w:val="00F6106E"/>
    <w:rsid w:val="00F704C4"/>
    <w:rsid w:val="00F7162F"/>
    <w:rsid w:val="00F7264E"/>
    <w:rsid w:val="00F82AF6"/>
    <w:rsid w:val="00F82FAB"/>
    <w:rsid w:val="00F84C8A"/>
    <w:rsid w:val="00F92B15"/>
    <w:rsid w:val="00F96183"/>
    <w:rsid w:val="00F96FF7"/>
    <w:rsid w:val="00F97299"/>
    <w:rsid w:val="00F97A01"/>
    <w:rsid w:val="00FA1710"/>
    <w:rsid w:val="00FA79DF"/>
    <w:rsid w:val="00FB78ED"/>
    <w:rsid w:val="00FC1717"/>
    <w:rsid w:val="00FC2777"/>
    <w:rsid w:val="00FC3844"/>
    <w:rsid w:val="00FC62CF"/>
    <w:rsid w:val="00FD0169"/>
    <w:rsid w:val="00FD28E4"/>
    <w:rsid w:val="00FD7113"/>
    <w:rsid w:val="00FE3078"/>
    <w:rsid w:val="00FE3326"/>
    <w:rsid w:val="00FE33B8"/>
    <w:rsid w:val="00FE71B0"/>
    <w:rsid w:val="00FF56C0"/>
    <w:rsid w:val="00FF65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54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64C"/>
    <w:pPr>
      <w:spacing w:before="120"/>
      <w:jc w:val="both"/>
    </w:pPr>
    <w:rPr>
      <w:rFonts w:ascii="Times" w:hAnsi="Times"/>
      <w:sz w:val="24"/>
      <w:lang w:eastAsia="en-AU"/>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paragraph" w:styleId="Heading4">
    <w:name w:val="heading 4"/>
    <w:basedOn w:val="Normal"/>
    <w:next w:val="Normal"/>
    <w:link w:val="Heading4Char"/>
    <w:semiHidden/>
    <w:unhideWhenUsed/>
    <w:qFormat/>
    <w:rsid w:val="004666C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rsid w:val="00035AEB"/>
    <w:rPr>
      <w:color w:val="800080"/>
      <w:u w:val="single"/>
    </w:rPr>
  </w:style>
  <w:style w:type="paragraph" w:customStyle="1" w:styleId="Tablelabel">
    <w:name w:val="Table label"/>
    <w:basedOn w:val="Normal"/>
    <w:rsid w:val="00E401A9"/>
    <w:pPr>
      <w:spacing w:after="80"/>
      <w:ind w:left="113"/>
      <w:jc w:val="left"/>
    </w:pPr>
    <w:rPr>
      <w:rFonts w:ascii="Arial" w:hAnsi="Arial"/>
      <w:b/>
      <w:color w:val="FFFFFF"/>
      <w:sz w:val="18"/>
    </w:rPr>
  </w:style>
  <w:style w:type="paragraph" w:customStyle="1" w:styleId="Tabletext">
    <w:name w:val="Table text"/>
    <w:rsid w:val="00E401A9"/>
    <w:pPr>
      <w:spacing w:before="60" w:after="60"/>
      <w:jc w:val="both"/>
    </w:pPr>
    <w:rPr>
      <w:rFonts w:ascii="Arial" w:hAnsi="Arial"/>
      <w:sz w:val="18"/>
      <w:lang w:eastAsia="en-AU"/>
    </w:rPr>
  </w:style>
  <w:style w:type="paragraph" w:customStyle="1" w:styleId="Bullet1">
    <w:name w:val="Bullet 1"/>
    <w:basedOn w:val="Normal"/>
    <w:uiPriority w:val="99"/>
    <w:rsid w:val="004666CF"/>
    <w:pPr>
      <w:numPr>
        <w:numId w:val="5"/>
      </w:numPr>
      <w:suppressAutoHyphens/>
      <w:autoSpaceDE w:val="0"/>
      <w:autoSpaceDN w:val="0"/>
      <w:adjustRightInd w:val="0"/>
      <w:spacing w:before="0" w:after="200"/>
      <w:jc w:val="left"/>
    </w:pPr>
    <w:rPr>
      <w:rFonts w:ascii="Arial" w:hAnsi="Arial" w:cs="Arial"/>
      <w:color w:val="000000"/>
      <w:sz w:val="20"/>
      <w:lang w:val="en-GB"/>
    </w:rPr>
  </w:style>
  <w:style w:type="character" w:customStyle="1" w:styleId="bodytextbold">
    <w:name w:val="body text bold"/>
    <w:uiPriority w:val="99"/>
    <w:rsid w:val="004666CF"/>
    <w:rPr>
      <w:b/>
      <w:bCs/>
    </w:rPr>
  </w:style>
  <w:style w:type="character" w:customStyle="1" w:styleId="Heading4Char">
    <w:name w:val="Heading 4 Char"/>
    <w:link w:val="Heading4"/>
    <w:semiHidden/>
    <w:rsid w:val="004666CF"/>
    <w:rPr>
      <w:rFonts w:ascii="Calibri" w:eastAsia="Times New Roman" w:hAnsi="Calibri" w:cs="Times New Roman"/>
      <w:b/>
      <w:bCs/>
      <w:sz w:val="28"/>
      <w:szCs w:val="28"/>
    </w:rPr>
  </w:style>
  <w:style w:type="paragraph" w:customStyle="1" w:styleId="Bullets2nd">
    <w:name w:val="Bullets 2nd"/>
    <w:basedOn w:val="Normal"/>
    <w:rsid w:val="004666CF"/>
    <w:pPr>
      <w:numPr>
        <w:ilvl w:val="1"/>
        <w:numId w:val="3"/>
      </w:numPr>
      <w:spacing w:before="0" w:after="200"/>
      <w:ind w:left="567" w:hanging="283"/>
      <w:jc w:val="left"/>
    </w:pPr>
    <w:rPr>
      <w:rFonts w:ascii="Arial" w:hAnsi="Arial"/>
      <w:sz w:val="20"/>
      <w:szCs w:val="24"/>
    </w:rPr>
  </w:style>
  <w:style w:type="character" w:customStyle="1" w:styleId="UnresolvedMention1">
    <w:name w:val="Unresolved Mention1"/>
    <w:uiPriority w:val="99"/>
    <w:semiHidden/>
    <w:unhideWhenUsed/>
    <w:rsid w:val="00992EEB"/>
    <w:rPr>
      <w:color w:val="808080"/>
      <w:shd w:val="clear" w:color="auto" w:fill="E6E6E6"/>
    </w:rPr>
  </w:style>
  <w:style w:type="paragraph" w:customStyle="1" w:styleId="Style1">
    <w:name w:val="Style1"/>
    <w:basedOn w:val="Heading2"/>
    <w:autoRedefine/>
    <w:qFormat/>
    <w:rsid w:val="00564A3B"/>
    <w:pPr>
      <w:spacing w:before="240" w:after="240"/>
      <w:jc w:val="left"/>
    </w:pPr>
    <w:rPr>
      <w:rFonts w:cs="Arial"/>
      <w:sz w:val="20"/>
    </w:rPr>
  </w:style>
  <w:style w:type="character" w:customStyle="1" w:styleId="normaltextrun">
    <w:name w:val="normaltextrun"/>
    <w:rsid w:val="006A1A04"/>
  </w:style>
  <w:style w:type="character" w:customStyle="1" w:styleId="apple-converted-space">
    <w:name w:val="apple-converted-space"/>
    <w:rsid w:val="006A1A04"/>
  </w:style>
  <w:style w:type="paragraph" w:customStyle="1" w:styleId="paragraph">
    <w:name w:val="paragraph"/>
    <w:basedOn w:val="Normal"/>
    <w:rsid w:val="006A1A04"/>
    <w:pPr>
      <w:spacing w:before="100" w:beforeAutospacing="1" w:after="100" w:afterAutospacing="1"/>
      <w:jc w:val="left"/>
    </w:pPr>
    <w:rPr>
      <w:rFonts w:ascii="Times New Roman" w:hAnsi="Times New Roman"/>
      <w:szCs w:val="24"/>
      <w:lang w:eastAsia="en-US"/>
    </w:rPr>
  </w:style>
  <w:style w:type="character" w:customStyle="1" w:styleId="eop">
    <w:name w:val="eop"/>
    <w:rsid w:val="006A1A04"/>
  </w:style>
  <w:style w:type="paragraph" w:customStyle="1" w:styleId="NumberedText">
    <w:name w:val="Numbered Text"/>
    <w:basedOn w:val="Normal"/>
    <w:rsid w:val="00CC2AFA"/>
    <w:pPr>
      <w:tabs>
        <w:tab w:val="num" w:pos="360"/>
      </w:tabs>
      <w:spacing w:before="0" w:after="120"/>
      <w:ind w:left="360" w:hanging="360"/>
    </w:pPr>
    <w:rPr>
      <w:rFonts w:ascii="Times New Roman" w:hAnsi="Times New Roman"/>
    </w:rPr>
  </w:style>
  <w:style w:type="paragraph" w:styleId="NormalWeb">
    <w:name w:val="Normal (Web)"/>
    <w:basedOn w:val="Normal"/>
    <w:uiPriority w:val="99"/>
    <w:unhideWhenUsed/>
    <w:rsid w:val="00CC2AFA"/>
    <w:pPr>
      <w:spacing w:before="100" w:beforeAutospacing="1" w:after="100" w:afterAutospacing="1"/>
      <w:jc w:val="left"/>
    </w:pPr>
    <w:rPr>
      <w:rFonts w:ascii="Times New Roman" w:hAnsi="Times New Roman"/>
      <w:szCs w:val="24"/>
      <w:lang w:eastAsia="en-US"/>
    </w:rPr>
  </w:style>
  <w:style w:type="table" w:styleId="TableGrid">
    <w:name w:val="Table Grid"/>
    <w:basedOn w:val="TableNormal"/>
    <w:rsid w:val="00CC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A576D"/>
    <w:pPr>
      <w:spacing w:before="0" w:after="200"/>
    </w:pPr>
    <w:rPr>
      <w:i/>
      <w:iCs/>
      <w:color w:val="44546A" w:themeColor="text2"/>
      <w:sz w:val="18"/>
      <w:szCs w:val="18"/>
    </w:rPr>
  </w:style>
  <w:style w:type="paragraph" w:styleId="ListParagraph">
    <w:name w:val="List Paragraph"/>
    <w:basedOn w:val="Normal"/>
    <w:uiPriority w:val="34"/>
    <w:qFormat/>
    <w:rsid w:val="007379EB"/>
    <w:pPr>
      <w:ind w:left="720"/>
      <w:contextualSpacing/>
    </w:pPr>
  </w:style>
  <w:style w:type="paragraph" w:customStyle="1" w:styleId="ICHeading4">
    <w:name w:val="IC_Heading_4"/>
    <w:basedOn w:val="Normal"/>
    <w:qFormat/>
    <w:rsid w:val="00365BAC"/>
    <w:pPr>
      <w:keepNext/>
      <w:spacing w:before="240" w:after="240"/>
      <w:jc w:val="left"/>
      <w:outlineLvl w:val="3"/>
    </w:pPr>
    <w:rPr>
      <w:rFonts w:ascii="Arial" w:eastAsiaTheme="minorHAnsi" w:hAnsi="Arial" w:cs="Arial"/>
      <w:b/>
      <w:szCs w:val="22"/>
      <w:lang w:eastAsia="en-US"/>
    </w:rPr>
  </w:style>
  <w:style w:type="paragraph" w:customStyle="1" w:styleId="ICBullets">
    <w:name w:val="IC_Bullets"/>
    <w:basedOn w:val="ListParagraph"/>
    <w:qFormat/>
    <w:rsid w:val="00365BAC"/>
    <w:pPr>
      <w:numPr>
        <w:numId w:val="13"/>
      </w:numPr>
      <w:spacing w:before="0"/>
      <w:ind w:left="567" w:hanging="567"/>
      <w:jc w:val="left"/>
    </w:pPr>
    <w:rPr>
      <w:rFonts w:ascii="Arial" w:eastAsia="Calibri" w:hAnsi="Arial" w:cs="Arial"/>
      <w:szCs w:val="22"/>
      <w:lang w:eastAsia="en-US"/>
    </w:rPr>
  </w:style>
  <w:style w:type="paragraph" w:styleId="Revision">
    <w:name w:val="Revision"/>
    <w:hidden/>
    <w:uiPriority w:val="99"/>
    <w:semiHidden/>
    <w:rsid w:val="005A01B6"/>
    <w:rPr>
      <w:rFonts w:ascii="Times" w:hAnsi="Times"/>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5829">
      <w:bodyDiv w:val="1"/>
      <w:marLeft w:val="0"/>
      <w:marRight w:val="0"/>
      <w:marTop w:val="0"/>
      <w:marBottom w:val="0"/>
      <w:divBdr>
        <w:top w:val="none" w:sz="0" w:space="0" w:color="auto"/>
        <w:left w:val="none" w:sz="0" w:space="0" w:color="auto"/>
        <w:bottom w:val="none" w:sz="0" w:space="0" w:color="auto"/>
        <w:right w:val="none" w:sz="0" w:space="0" w:color="auto"/>
      </w:divBdr>
    </w:div>
    <w:div w:id="261569293">
      <w:bodyDiv w:val="1"/>
      <w:marLeft w:val="0"/>
      <w:marRight w:val="0"/>
      <w:marTop w:val="0"/>
      <w:marBottom w:val="0"/>
      <w:divBdr>
        <w:top w:val="none" w:sz="0" w:space="0" w:color="auto"/>
        <w:left w:val="none" w:sz="0" w:space="0" w:color="auto"/>
        <w:bottom w:val="none" w:sz="0" w:space="0" w:color="auto"/>
        <w:right w:val="none" w:sz="0" w:space="0" w:color="auto"/>
      </w:divBdr>
      <w:divsChild>
        <w:div w:id="1827471510">
          <w:marLeft w:val="0"/>
          <w:marRight w:val="0"/>
          <w:marTop w:val="0"/>
          <w:marBottom w:val="0"/>
          <w:divBdr>
            <w:top w:val="none" w:sz="0" w:space="0" w:color="auto"/>
            <w:left w:val="none" w:sz="0" w:space="0" w:color="auto"/>
            <w:bottom w:val="none" w:sz="0" w:space="0" w:color="auto"/>
            <w:right w:val="none" w:sz="0" w:space="0" w:color="auto"/>
          </w:divBdr>
          <w:divsChild>
            <w:div w:id="526065419">
              <w:marLeft w:val="0"/>
              <w:marRight w:val="0"/>
              <w:marTop w:val="0"/>
              <w:marBottom w:val="0"/>
              <w:divBdr>
                <w:top w:val="none" w:sz="0" w:space="0" w:color="auto"/>
                <w:left w:val="none" w:sz="0" w:space="0" w:color="auto"/>
                <w:bottom w:val="none" w:sz="0" w:space="0" w:color="auto"/>
                <w:right w:val="none" w:sz="0" w:space="0" w:color="auto"/>
              </w:divBdr>
              <w:divsChild>
                <w:div w:id="16229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2261">
      <w:bodyDiv w:val="1"/>
      <w:marLeft w:val="0"/>
      <w:marRight w:val="0"/>
      <w:marTop w:val="0"/>
      <w:marBottom w:val="0"/>
      <w:divBdr>
        <w:top w:val="none" w:sz="0" w:space="0" w:color="auto"/>
        <w:left w:val="none" w:sz="0" w:space="0" w:color="auto"/>
        <w:bottom w:val="none" w:sz="0" w:space="0" w:color="auto"/>
        <w:right w:val="none" w:sz="0" w:space="0" w:color="auto"/>
      </w:divBdr>
      <w:divsChild>
        <w:div w:id="2128888654">
          <w:marLeft w:val="0"/>
          <w:marRight w:val="0"/>
          <w:marTop w:val="0"/>
          <w:marBottom w:val="0"/>
          <w:divBdr>
            <w:top w:val="none" w:sz="0" w:space="0" w:color="auto"/>
            <w:left w:val="none" w:sz="0" w:space="0" w:color="auto"/>
            <w:bottom w:val="none" w:sz="0" w:space="0" w:color="auto"/>
            <w:right w:val="none" w:sz="0" w:space="0" w:color="auto"/>
          </w:divBdr>
          <w:divsChild>
            <w:div w:id="1079525757">
              <w:marLeft w:val="0"/>
              <w:marRight w:val="0"/>
              <w:marTop w:val="0"/>
              <w:marBottom w:val="0"/>
              <w:divBdr>
                <w:top w:val="none" w:sz="0" w:space="0" w:color="auto"/>
                <w:left w:val="none" w:sz="0" w:space="0" w:color="auto"/>
                <w:bottom w:val="none" w:sz="0" w:space="0" w:color="auto"/>
                <w:right w:val="none" w:sz="0" w:space="0" w:color="auto"/>
              </w:divBdr>
              <w:divsChild>
                <w:div w:id="17976095">
                  <w:marLeft w:val="0"/>
                  <w:marRight w:val="0"/>
                  <w:marTop w:val="0"/>
                  <w:marBottom w:val="0"/>
                  <w:divBdr>
                    <w:top w:val="none" w:sz="0" w:space="0" w:color="auto"/>
                    <w:left w:val="none" w:sz="0" w:space="0" w:color="auto"/>
                    <w:bottom w:val="none" w:sz="0" w:space="0" w:color="auto"/>
                    <w:right w:val="none" w:sz="0" w:space="0" w:color="auto"/>
                  </w:divBdr>
                </w:div>
                <w:div w:id="20463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08694">
      <w:bodyDiv w:val="1"/>
      <w:marLeft w:val="0"/>
      <w:marRight w:val="0"/>
      <w:marTop w:val="0"/>
      <w:marBottom w:val="0"/>
      <w:divBdr>
        <w:top w:val="none" w:sz="0" w:space="0" w:color="auto"/>
        <w:left w:val="none" w:sz="0" w:space="0" w:color="auto"/>
        <w:bottom w:val="none" w:sz="0" w:space="0" w:color="auto"/>
        <w:right w:val="none" w:sz="0" w:space="0" w:color="auto"/>
      </w:divBdr>
    </w:div>
    <w:div w:id="351492123">
      <w:bodyDiv w:val="1"/>
      <w:marLeft w:val="0"/>
      <w:marRight w:val="0"/>
      <w:marTop w:val="0"/>
      <w:marBottom w:val="0"/>
      <w:divBdr>
        <w:top w:val="none" w:sz="0" w:space="0" w:color="auto"/>
        <w:left w:val="none" w:sz="0" w:space="0" w:color="auto"/>
        <w:bottom w:val="none" w:sz="0" w:space="0" w:color="auto"/>
        <w:right w:val="none" w:sz="0" w:space="0" w:color="auto"/>
      </w:divBdr>
    </w:div>
    <w:div w:id="430006654">
      <w:bodyDiv w:val="1"/>
      <w:marLeft w:val="0"/>
      <w:marRight w:val="0"/>
      <w:marTop w:val="0"/>
      <w:marBottom w:val="0"/>
      <w:divBdr>
        <w:top w:val="none" w:sz="0" w:space="0" w:color="auto"/>
        <w:left w:val="none" w:sz="0" w:space="0" w:color="auto"/>
        <w:bottom w:val="none" w:sz="0" w:space="0" w:color="auto"/>
        <w:right w:val="none" w:sz="0" w:space="0" w:color="auto"/>
      </w:divBdr>
      <w:divsChild>
        <w:div w:id="697703069">
          <w:marLeft w:val="0"/>
          <w:marRight w:val="0"/>
          <w:marTop w:val="0"/>
          <w:marBottom w:val="0"/>
          <w:divBdr>
            <w:top w:val="none" w:sz="0" w:space="0" w:color="auto"/>
            <w:left w:val="none" w:sz="0" w:space="0" w:color="auto"/>
            <w:bottom w:val="none" w:sz="0" w:space="0" w:color="auto"/>
            <w:right w:val="none" w:sz="0" w:space="0" w:color="auto"/>
          </w:divBdr>
          <w:divsChild>
            <w:div w:id="262303479">
              <w:marLeft w:val="0"/>
              <w:marRight w:val="0"/>
              <w:marTop w:val="0"/>
              <w:marBottom w:val="0"/>
              <w:divBdr>
                <w:top w:val="none" w:sz="0" w:space="0" w:color="auto"/>
                <w:left w:val="none" w:sz="0" w:space="0" w:color="auto"/>
                <w:bottom w:val="none" w:sz="0" w:space="0" w:color="auto"/>
                <w:right w:val="none" w:sz="0" w:space="0" w:color="auto"/>
              </w:divBdr>
              <w:divsChild>
                <w:div w:id="1191724331">
                  <w:marLeft w:val="0"/>
                  <w:marRight w:val="0"/>
                  <w:marTop w:val="0"/>
                  <w:marBottom w:val="0"/>
                  <w:divBdr>
                    <w:top w:val="none" w:sz="0" w:space="0" w:color="auto"/>
                    <w:left w:val="none" w:sz="0" w:space="0" w:color="auto"/>
                    <w:bottom w:val="none" w:sz="0" w:space="0" w:color="auto"/>
                    <w:right w:val="none" w:sz="0" w:space="0" w:color="auto"/>
                  </w:divBdr>
                  <w:divsChild>
                    <w:div w:id="216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29671">
      <w:bodyDiv w:val="1"/>
      <w:marLeft w:val="0"/>
      <w:marRight w:val="0"/>
      <w:marTop w:val="0"/>
      <w:marBottom w:val="0"/>
      <w:divBdr>
        <w:top w:val="none" w:sz="0" w:space="0" w:color="auto"/>
        <w:left w:val="none" w:sz="0" w:space="0" w:color="auto"/>
        <w:bottom w:val="none" w:sz="0" w:space="0" w:color="auto"/>
        <w:right w:val="none" w:sz="0" w:space="0" w:color="auto"/>
      </w:divBdr>
      <w:divsChild>
        <w:div w:id="1344866832">
          <w:marLeft w:val="0"/>
          <w:marRight w:val="0"/>
          <w:marTop w:val="0"/>
          <w:marBottom w:val="0"/>
          <w:divBdr>
            <w:top w:val="none" w:sz="0" w:space="0" w:color="auto"/>
            <w:left w:val="none" w:sz="0" w:space="0" w:color="auto"/>
            <w:bottom w:val="none" w:sz="0" w:space="0" w:color="auto"/>
            <w:right w:val="none" w:sz="0" w:space="0" w:color="auto"/>
          </w:divBdr>
          <w:divsChild>
            <w:div w:id="711535981">
              <w:marLeft w:val="0"/>
              <w:marRight w:val="0"/>
              <w:marTop w:val="0"/>
              <w:marBottom w:val="0"/>
              <w:divBdr>
                <w:top w:val="none" w:sz="0" w:space="0" w:color="auto"/>
                <w:left w:val="none" w:sz="0" w:space="0" w:color="auto"/>
                <w:bottom w:val="none" w:sz="0" w:space="0" w:color="auto"/>
                <w:right w:val="none" w:sz="0" w:space="0" w:color="auto"/>
              </w:divBdr>
              <w:divsChild>
                <w:div w:id="8595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4135">
      <w:bodyDiv w:val="1"/>
      <w:marLeft w:val="0"/>
      <w:marRight w:val="0"/>
      <w:marTop w:val="0"/>
      <w:marBottom w:val="0"/>
      <w:divBdr>
        <w:top w:val="none" w:sz="0" w:space="0" w:color="auto"/>
        <w:left w:val="none" w:sz="0" w:space="0" w:color="auto"/>
        <w:bottom w:val="none" w:sz="0" w:space="0" w:color="auto"/>
        <w:right w:val="none" w:sz="0" w:space="0" w:color="auto"/>
      </w:divBdr>
    </w:div>
    <w:div w:id="962343093">
      <w:bodyDiv w:val="1"/>
      <w:marLeft w:val="0"/>
      <w:marRight w:val="0"/>
      <w:marTop w:val="0"/>
      <w:marBottom w:val="0"/>
      <w:divBdr>
        <w:top w:val="none" w:sz="0" w:space="0" w:color="auto"/>
        <w:left w:val="none" w:sz="0" w:space="0" w:color="auto"/>
        <w:bottom w:val="none" w:sz="0" w:space="0" w:color="auto"/>
        <w:right w:val="none" w:sz="0" w:space="0" w:color="auto"/>
      </w:divBdr>
      <w:divsChild>
        <w:div w:id="2070685025">
          <w:marLeft w:val="0"/>
          <w:marRight w:val="0"/>
          <w:marTop w:val="0"/>
          <w:marBottom w:val="0"/>
          <w:divBdr>
            <w:top w:val="none" w:sz="0" w:space="0" w:color="auto"/>
            <w:left w:val="none" w:sz="0" w:space="0" w:color="auto"/>
            <w:bottom w:val="none" w:sz="0" w:space="0" w:color="auto"/>
            <w:right w:val="none" w:sz="0" w:space="0" w:color="auto"/>
          </w:divBdr>
        </w:div>
        <w:div w:id="2094466954">
          <w:marLeft w:val="0"/>
          <w:marRight w:val="0"/>
          <w:marTop w:val="0"/>
          <w:marBottom w:val="0"/>
          <w:divBdr>
            <w:top w:val="none" w:sz="0" w:space="0" w:color="auto"/>
            <w:left w:val="none" w:sz="0" w:space="0" w:color="auto"/>
            <w:bottom w:val="none" w:sz="0" w:space="0" w:color="auto"/>
            <w:right w:val="none" w:sz="0" w:space="0" w:color="auto"/>
          </w:divBdr>
        </w:div>
      </w:divsChild>
    </w:div>
    <w:div w:id="974212811">
      <w:bodyDiv w:val="1"/>
      <w:marLeft w:val="0"/>
      <w:marRight w:val="0"/>
      <w:marTop w:val="0"/>
      <w:marBottom w:val="0"/>
      <w:divBdr>
        <w:top w:val="none" w:sz="0" w:space="0" w:color="auto"/>
        <w:left w:val="none" w:sz="0" w:space="0" w:color="auto"/>
        <w:bottom w:val="none" w:sz="0" w:space="0" w:color="auto"/>
        <w:right w:val="none" w:sz="0" w:space="0" w:color="auto"/>
      </w:divBdr>
    </w:div>
    <w:div w:id="996032145">
      <w:bodyDiv w:val="1"/>
      <w:marLeft w:val="0"/>
      <w:marRight w:val="0"/>
      <w:marTop w:val="0"/>
      <w:marBottom w:val="0"/>
      <w:divBdr>
        <w:top w:val="none" w:sz="0" w:space="0" w:color="auto"/>
        <w:left w:val="none" w:sz="0" w:space="0" w:color="auto"/>
        <w:bottom w:val="none" w:sz="0" w:space="0" w:color="auto"/>
        <w:right w:val="none" w:sz="0" w:space="0" w:color="auto"/>
      </w:divBdr>
    </w:div>
    <w:div w:id="1032147454">
      <w:bodyDiv w:val="1"/>
      <w:marLeft w:val="0"/>
      <w:marRight w:val="0"/>
      <w:marTop w:val="0"/>
      <w:marBottom w:val="0"/>
      <w:divBdr>
        <w:top w:val="none" w:sz="0" w:space="0" w:color="auto"/>
        <w:left w:val="none" w:sz="0" w:space="0" w:color="auto"/>
        <w:bottom w:val="none" w:sz="0" w:space="0" w:color="auto"/>
        <w:right w:val="none" w:sz="0" w:space="0" w:color="auto"/>
      </w:divBdr>
    </w:div>
    <w:div w:id="1102145214">
      <w:bodyDiv w:val="1"/>
      <w:marLeft w:val="0"/>
      <w:marRight w:val="0"/>
      <w:marTop w:val="0"/>
      <w:marBottom w:val="0"/>
      <w:divBdr>
        <w:top w:val="none" w:sz="0" w:space="0" w:color="auto"/>
        <w:left w:val="none" w:sz="0" w:space="0" w:color="auto"/>
        <w:bottom w:val="none" w:sz="0" w:space="0" w:color="auto"/>
        <w:right w:val="none" w:sz="0" w:space="0" w:color="auto"/>
      </w:divBdr>
    </w:div>
    <w:div w:id="1110785999">
      <w:bodyDiv w:val="1"/>
      <w:marLeft w:val="0"/>
      <w:marRight w:val="0"/>
      <w:marTop w:val="0"/>
      <w:marBottom w:val="0"/>
      <w:divBdr>
        <w:top w:val="none" w:sz="0" w:space="0" w:color="auto"/>
        <w:left w:val="none" w:sz="0" w:space="0" w:color="auto"/>
        <w:bottom w:val="none" w:sz="0" w:space="0" w:color="auto"/>
        <w:right w:val="none" w:sz="0" w:space="0" w:color="auto"/>
      </w:divBdr>
      <w:divsChild>
        <w:div w:id="144249288">
          <w:marLeft w:val="0"/>
          <w:marRight w:val="0"/>
          <w:marTop w:val="0"/>
          <w:marBottom w:val="0"/>
          <w:divBdr>
            <w:top w:val="none" w:sz="0" w:space="0" w:color="auto"/>
            <w:left w:val="none" w:sz="0" w:space="0" w:color="auto"/>
            <w:bottom w:val="none" w:sz="0" w:space="0" w:color="auto"/>
            <w:right w:val="none" w:sz="0" w:space="0" w:color="auto"/>
          </w:divBdr>
          <w:divsChild>
            <w:div w:id="146436408">
              <w:marLeft w:val="0"/>
              <w:marRight w:val="0"/>
              <w:marTop w:val="0"/>
              <w:marBottom w:val="0"/>
              <w:divBdr>
                <w:top w:val="none" w:sz="0" w:space="0" w:color="auto"/>
                <w:left w:val="none" w:sz="0" w:space="0" w:color="auto"/>
                <w:bottom w:val="none" w:sz="0" w:space="0" w:color="auto"/>
                <w:right w:val="none" w:sz="0" w:space="0" w:color="auto"/>
              </w:divBdr>
              <w:divsChild>
                <w:div w:id="1443257184">
                  <w:marLeft w:val="0"/>
                  <w:marRight w:val="0"/>
                  <w:marTop w:val="0"/>
                  <w:marBottom w:val="0"/>
                  <w:divBdr>
                    <w:top w:val="none" w:sz="0" w:space="0" w:color="auto"/>
                    <w:left w:val="none" w:sz="0" w:space="0" w:color="auto"/>
                    <w:bottom w:val="none" w:sz="0" w:space="0" w:color="auto"/>
                    <w:right w:val="none" w:sz="0" w:space="0" w:color="auto"/>
                  </w:divBdr>
                </w:div>
              </w:divsChild>
            </w:div>
            <w:div w:id="1934582796">
              <w:marLeft w:val="0"/>
              <w:marRight w:val="0"/>
              <w:marTop w:val="0"/>
              <w:marBottom w:val="0"/>
              <w:divBdr>
                <w:top w:val="none" w:sz="0" w:space="0" w:color="auto"/>
                <w:left w:val="none" w:sz="0" w:space="0" w:color="auto"/>
                <w:bottom w:val="none" w:sz="0" w:space="0" w:color="auto"/>
                <w:right w:val="none" w:sz="0" w:space="0" w:color="auto"/>
              </w:divBdr>
              <w:divsChild>
                <w:div w:id="83964432">
                  <w:marLeft w:val="0"/>
                  <w:marRight w:val="0"/>
                  <w:marTop w:val="0"/>
                  <w:marBottom w:val="0"/>
                  <w:divBdr>
                    <w:top w:val="none" w:sz="0" w:space="0" w:color="auto"/>
                    <w:left w:val="none" w:sz="0" w:space="0" w:color="auto"/>
                    <w:bottom w:val="none" w:sz="0" w:space="0" w:color="auto"/>
                    <w:right w:val="none" w:sz="0" w:space="0" w:color="auto"/>
                  </w:divBdr>
                </w:div>
                <w:div w:id="956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4710">
          <w:marLeft w:val="0"/>
          <w:marRight w:val="0"/>
          <w:marTop w:val="0"/>
          <w:marBottom w:val="0"/>
          <w:divBdr>
            <w:top w:val="none" w:sz="0" w:space="0" w:color="auto"/>
            <w:left w:val="none" w:sz="0" w:space="0" w:color="auto"/>
            <w:bottom w:val="none" w:sz="0" w:space="0" w:color="auto"/>
            <w:right w:val="none" w:sz="0" w:space="0" w:color="auto"/>
          </w:divBdr>
          <w:divsChild>
            <w:div w:id="419565526">
              <w:marLeft w:val="0"/>
              <w:marRight w:val="0"/>
              <w:marTop w:val="0"/>
              <w:marBottom w:val="0"/>
              <w:divBdr>
                <w:top w:val="none" w:sz="0" w:space="0" w:color="auto"/>
                <w:left w:val="none" w:sz="0" w:space="0" w:color="auto"/>
                <w:bottom w:val="none" w:sz="0" w:space="0" w:color="auto"/>
                <w:right w:val="none" w:sz="0" w:space="0" w:color="auto"/>
              </w:divBdr>
              <w:divsChild>
                <w:div w:id="264121985">
                  <w:marLeft w:val="0"/>
                  <w:marRight w:val="0"/>
                  <w:marTop w:val="0"/>
                  <w:marBottom w:val="0"/>
                  <w:divBdr>
                    <w:top w:val="none" w:sz="0" w:space="0" w:color="auto"/>
                    <w:left w:val="none" w:sz="0" w:space="0" w:color="auto"/>
                    <w:bottom w:val="none" w:sz="0" w:space="0" w:color="auto"/>
                    <w:right w:val="none" w:sz="0" w:space="0" w:color="auto"/>
                  </w:divBdr>
                </w:div>
                <w:div w:id="7398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971649">
      <w:bodyDiv w:val="1"/>
      <w:marLeft w:val="0"/>
      <w:marRight w:val="0"/>
      <w:marTop w:val="0"/>
      <w:marBottom w:val="0"/>
      <w:divBdr>
        <w:top w:val="none" w:sz="0" w:space="0" w:color="auto"/>
        <w:left w:val="none" w:sz="0" w:space="0" w:color="auto"/>
        <w:bottom w:val="none" w:sz="0" w:space="0" w:color="auto"/>
        <w:right w:val="none" w:sz="0" w:space="0" w:color="auto"/>
      </w:divBdr>
    </w:div>
    <w:div w:id="1176844718">
      <w:bodyDiv w:val="1"/>
      <w:marLeft w:val="0"/>
      <w:marRight w:val="0"/>
      <w:marTop w:val="0"/>
      <w:marBottom w:val="0"/>
      <w:divBdr>
        <w:top w:val="none" w:sz="0" w:space="0" w:color="auto"/>
        <w:left w:val="none" w:sz="0" w:space="0" w:color="auto"/>
        <w:bottom w:val="none" w:sz="0" w:space="0" w:color="auto"/>
        <w:right w:val="none" w:sz="0" w:space="0" w:color="auto"/>
      </w:divBdr>
      <w:divsChild>
        <w:div w:id="1234699396">
          <w:marLeft w:val="0"/>
          <w:marRight w:val="0"/>
          <w:marTop w:val="0"/>
          <w:marBottom w:val="0"/>
          <w:divBdr>
            <w:top w:val="none" w:sz="0" w:space="0" w:color="auto"/>
            <w:left w:val="none" w:sz="0" w:space="0" w:color="auto"/>
            <w:bottom w:val="none" w:sz="0" w:space="0" w:color="auto"/>
            <w:right w:val="none" w:sz="0" w:space="0" w:color="auto"/>
          </w:divBdr>
          <w:divsChild>
            <w:div w:id="1545093053">
              <w:marLeft w:val="0"/>
              <w:marRight w:val="0"/>
              <w:marTop w:val="0"/>
              <w:marBottom w:val="0"/>
              <w:divBdr>
                <w:top w:val="none" w:sz="0" w:space="0" w:color="auto"/>
                <w:left w:val="none" w:sz="0" w:space="0" w:color="auto"/>
                <w:bottom w:val="none" w:sz="0" w:space="0" w:color="auto"/>
                <w:right w:val="none" w:sz="0" w:space="0" w:color="auto"/>
              </w:divBdr>
              <w:divsChild>
                <w:div w:id="685252222">
                  <w:marLeft w:val="0"/>
                  <w:marRight w:val="0"/>
                  <w:marTop w:val="0"/>
                  <w:marBottom w:val="0"/>
                  <w:divBdr>
                    <w:top w:val="none" w:sz="0" w:space="0" w:color="auto"/>
                    <w:left w:val="none" w:sz="0" w:space="0" w:color="auto"/>
                    <w:bottom w:val="none" w:sz="0" w:space="0" w:color="auto"/>
                    <w:right w:val="none" w:sz="0" w:space="0" w:color="auto"/>
                  </w:divBdr>
                  <w:divsChild>
                    <w:div w:id="1883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4459">
      <w:bodyDiv w:val="1"/>
      <w:marLeft w:val="0"/>
      <w:marRight w:val="0"/>
      <w:marTop w:val="0"/>
      <w:marBottom w:val="0"/>
      <w:divBdr>
        <w:top w:val="none" w:sz="0" w:space="0" w:color="auto"/>
        <w:left w:val="none" w:sz="0" w:space="0" w:color="auto"/>
        <w:bottom w:val="none" w:sz="0" w:space="0" w:color="auto"/>
        <w:right w:val="none" w:sz="0" w:space="0" w:color="auto"/>
      </w:divBdr>
    </w:div>
    <w:div w:id="1651401544">
      <w:bodyDiv w:val="1"/>
      <w:marLeft w:val="0"/>
      <w:marRight w:val="0"/>
      <w:marTop w:val="0"/>
      <w:marBottom w:val="0"/>
      <w:divBdr>
        <w:top w:val="none" w:sz="0" w:space="0" w:color="auto"/>
        <w:left w:val="none" w:sz="0" w:space="0" w:color="auto"/>
        <w:bottom w:val="none" w:sz="0" w:space="0" w:color="auto"/>
        <w:right w:val="none" w:sz="0" w:space="0" w:color="auto"/>
      </w:divBdr>
    </w:div>
    <w:div w:id="1673289960">
      <w:bodyDiv w:val="1"/>
      <w:marLeft w:val="0"/>
      <w:marRight w:val="0"/>
      <w:marTop w:val="0"/>
      <w:marBottom w:val="0"/>
      <w:divBdr>
        <w:top w:val="none" w:sz="0" w:space="0" w:color="auto"/>
        <w:left w:val="none" w:sz="0" w:space="0" w:color="auto"/>
        <w:bottom w:val="none" w:sz="0" w:space="0" w:color="auto"/>
        <w:right w:val="none" w:sz="0" w:space="0" w:color="auto"/>
      </w:divBdr>
    </w:div>
    <w:div w:id="1781413669">
      <w:bodyDiv w:val="1"/>
      <w:marLeft w:val="0"/>
      <w:marRight w:val="0"/>
      <w:marTop w:val="0"/>
      <w:marBottom w:val="0"/>
      <w:divBdr>
        <w:top w:val="none" w:sz="0" w:space="0" w:color="auto"/>
        <w:left w:val="none" w:sz="0" w:space="0" w:color="auto"/>
        <w:bottom w:val="none" w:sz="0" w:space="0" w:color="auto"/>
        <w:right w:val="none" w:sz="0" w:space="0" w:color="auto"/>
      </w:divBdr>
    </w:div>
    <w:div w:id="198816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planning.vic.gov.au/public-inspe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maribyrnong.vic.gov.au/AmendmentC162"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4bd58b96-cc7f-4c1b-801f-2bc3c6bd79dd">
      <Terms xmlns="http://schemas.microsoft.com/office/infopath/2007/PartnerControls"/>
    </lcf76f155ced4ddcb4097134ff3c332f>
    <_Flow_SignoffStatus xmlns="4bd58b96-cc7f-4c1b-801f-2bc3c6bd79dd" xsi:nil="true"/>
    <Classification xmlns="4bd58b96-cc7f-4c1b-801f-2bc3c6bd79dd">2</Classification>
    <Uploadedby xmlns="4bd58b96-cc7f-4c1b-801f-2bc3c6bd79dd" xsi:nil="true"/>
    <AmendmentStatus xmlns="4bd58b96-cc7f-4c1b-801f-2bc3c6bd79dd" xsi:nil="true"/>
    <Category xmlns="4bd58b96-cc7f-4c1b-801f-2bc3c6bd79dd" xsi:nil="true"/>
    <DocumentStatus xmlns="4bd58b96-cc7f-4c1b-801f-2bc3c6bd79dd"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5" ma:contentTypeDescription="Create a new document." ma:contentTypeScope="" ma:versionID="487abcf06a5a787ad1a7ed905fd64041">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81aa5ea5bb672d761e08c8df80141a8c"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ABEAFED6-F23E-43C7-98C6-E18597AB4B22}">
  <ds:schemaRefs>
    <ds:schemaRef ds:uri="http://schemas.microsoft.com/office/2006/metadata/properties"/>
    <ds:schemaRef ds:uri="http://schemas.microsoft.com/office/infopath/2007/PartnerControls"/>
    <ds:schemaRef ds:uri="9fd47c19-1c4a-4d7d-b342-c10cef269344"/>
    <ds:schemaRef ds:uri="4bd58b96-cc7f-4c1b-801f-2bc3c6bd79dd"/>
  </ds:schemaRefs>
</ds:datastoreItem>
</file>

<file path=customXml/itemProps2.xml><?xml version="1.0" encoding="utf-8"?>
<ds:datastoreItem xmlns:ds="http://schemas.openxmlformats.org/officeDocument/2006/customXml" ds:itemID="{FDAC9FEC-6D52-4820-8AB9-94ADE8763BAD}">
  <ds:schemaRefs>
    <ds:schemaRef ds:uri="http://schemas.microsoft.com/sharepoint/events"/>
  </ds:schemaRefs>
</ds:datastoreItem>
</file>

<file path=customXml/itemProps3.xml><?xml version="1.0" encoding="utf-8"?>
<ds:datastoreItem xmlns:ds="http://schemas.openxmlformats.org/officeDocument/2006/customXml" ds:itemID="{A8381AFB-24EF-4C8B-9658-9DB0834296BB}">
  <ds:schemaRefs>
    <ds:schemaRef ds:uri="http://schemas.microsoft.com/sharepoint/v3/contenttype/forms"/>
  </ds:schemaRefs>
</ds:datastoreItem>
</file>

<file path=customXml/itemProps4.xml><?xml version="1.0" encoding="utf-8"?>
<ds:datastoreItem xmlns:ds="http://schemas.openxmlformats.org/officeDocument/2006/customXml" ds:itemID="{34DE0892-24B1-46E4-BF4F-6EDDD5761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082D49-85E6-4815-B850-BF33C929CDA4}">
  <ds:schemaRefs>
    <ds:schemaRef ds:uri="http://schemas.openxmlformats.org/officeDocument/2006/bibliography"/>
  </ds:schemaRefs>
</ds:datastoreItem>
</file>

<file path=customXml/itemProps6.xml><?xml version="1.0" encoding="utf-8"?>
<ds:datastoreItem xmlns:ds="http://schemas.openxmlformats.org/officeDocument/2006/customXml" ds:itemID="{E492B14B-2BBB-4ACC-8F1E-BA69940F8BD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3632</Words>
  <Characters>20927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2022-12-15T17:35:00Z</dcterms:created>
  <dcterms:modified xsi:type="dcterms:W3CDTF">2024-02-15T02:41:00Z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2024-02-15T02:41:32Z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90b06b2f-911c-4884-a77c-4dfb2defbcbe</vt:lpwstr>
  </property>
  <property fmtid="{D5CDD505-2E9C-101B-9397-08002B2CF9AE}" pid="10" name="MSIP_Label_4257e2ab-f512-40e2-9c9a-c64247360765_ContentBits">
    <vt:lpwstr>2</vt:lpwstr>
  </property>
</Properties>
</file>